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EB" w:rsidRDefault="007A5914" w:rsidP="004E5B6C">
      <w:pPr>
        <w:widowControl w:val="0"/>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367DEB" w:rsidRDefault="007A5914" w:rsidP="004E5B6C">
      <w:pPr>
        <w:widowControl w:val="0"/>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решением Совета Грачевского</w:t>
      </w:r>
    </w:p>
    <w:p w:rsidR="00367DEB" w:rsidRDefault="007A5914" w:rsidP="004E5B6C">
      <w:pPr>
        <w:widowControl w:val="0"/>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 округа</w:t>
      </w:r>
    </w:p>
    <w:p w:rsidR="00367DEB" w:rsidRDefault="007A5914" w:rsidP="004E5B6C">
      <w:pPr>
        <w:widowControl w:val="0"/>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Ставропольского края</w:t>
      </w:r>
    </w:p>
    <w:p w:rsidR="007275AF" w:rsidRDefault="007275AF" w:rsidP="007275AF">
      <w:pPr>
        <w:widowControl w:val="0"/>
        <w:tabs>
          <w:tab w:val="left" w:pos="7230"/>
        </w:tabs>
        <w:spacing w:after="0" w:line="240" w:lineRule="auto"/>
        <w:ind w:left="5387"/>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7A5914">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22 июня 2023 года</w:t>
      </w:r>
      <w:r w:rsidR="007A5914">
        <w:rPr>
          <w:rFonts w:ascii="Times New Roman" w:eastAsia="Times New Roman" w:hAnsi="Times New Roman" w:cs="Times New Roman"/>
          <w:sz w:val="28"/>
          <w:szCs w:val="28"/>
        </w:rPr>
        <w:t xml:space="preserve"> №</w:t>
      </w:r>
      <w:r w:rsidR="000833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w:t>
      </w:r>
    </w:p>
    <w:p w:rsidR="007275AF" w:rsidRDefault="007275AF" w:rsidP="007275AF">
      <w:pPr>
        <w:widowControl w:val="0"/>
        <w:tabs>
          <w:tab w:val="left" w:pos="7230"/>
        </w:tabs>
        <w:spacing w:after="0" w:line="240" w:lineRule="auto"/>
        <w:ind w:left="5387"/>
        <w:rPr>
          <w:rFonts w:ascii="Times New Roman" w:eastAsia="Times New Roman" w:hAnsi="Times New Roman" w:cs="Times New Roman"/>
          <w:sz w:val="28"/>
          <w:szCs w:val="28"/>
        </w:rPr>
      </w:pPr>
    </w:p>
    <w:p w:rsidR="007275AF" w:rsidRDefault="007275AF" w:rsidP="007275AF">
      <w:pPr>
        <w:widowControl w:val="0"/>
        <w:tabs>
          <w:tab w:val="left" w:pos="7230"/>
        </w:tabs>
        <w:spacing w:after="0" w:line="240" w:lineRule="auto"/>
        <w:ind w:left="5387"/>
        <w:rPr>
          <w:rFonts w:ascii="Times New Roman" w:eastAsia="Times New Roman" w:hAnsi="Times New Roman" w:cs="Times New Roman"/>
          <w:sz w:val="28"/>
          <w:szCs w:val="28"/>
        </w:rPr>
      </w:pPr>
    </w:p>
    <w:p w:rsidR="00367DEB" w:rsidRPr="007275AF" w:rsidRDefault="007A5914" w:rsidP="007275AF">
      <w:pPr>
        <w:widowControl w:val="0"/>
        <w:tabs>
          <w:tab w:val="left" w:pos="723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Отчет</w:t>
      </w:r>
    </w:p>
    <w:p w:rsidR="00367DEB" w:rsidRDefault="007A5914" w:rsidP="007275AF">
      <w:pPr>
        <w:widowControl w:val="0"/>
        <w:spacing w:after="4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деятельности </w:t>
      </w:r>
      <w:r w:rsidR="004B5EFB" w:rsidRPr="004B5EFB">
        <w:rPr>
          <w:rFonts w:ascii="Times New Roman" w:eastAsia="Times New Roman" w:hAnsi="Times New Roman" w:cs="Times New Roman"/>
          <w:b/>
          <w:sz w:val="28"/>
          <w:szCs w:val="28"/>
        </w:rPr>
        <w:t xml:space="preserve">Контрольно-счетной комиссии Грачевского муниципального округа Ставропольского края </w:t>
      </w:r>
      <w:r>
        <w:rPr>
          <w:rFonts w:ascii="Times New Roman" w:eastAsia="Times New Roman" w:hAnsi="Times New Roman" w:cs="Times New Roman"/>
          <w:b/>
          <w:sz w:val="28"/>
          <w:szCs w:val="28"/>
        </w:rPr>
        <w:t>за 202</w:t>
      </w:r>
      <w:r w:rsidR="004E3C94">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год</w:t>
      </w:r>
    </w:p>
    <w:p w:rsidR="00367DEB" w:rsidRDefault="007A5914" w:rsidP="007275AF">
      <w:pPr>
        <w:pStyle w:val="1"/>
        <w:keepNext w:val="0"/>
        <w:keepLines w:val="0"/>
        <w:widowControl w:val="0"/>
        <w:suppressAutoHyphens w:val="0"/>
      </w:pPr>
      <w:r>
        <w:t>Общие положения</w:t>
      </w:r>
    </w:p>
    <w:p w:rsidR="000F60C3" w:rsidRDefault="000F60C3" w:rsidP="00A77442">
      <w:pPr>
        <w:pStyle w:val="a5"/>
      </w:pPr>
      <w:r w:rsidRPr="000F60C3">
        <w:t>Отчет о деятельности Контрольно-счетной комиссии Грачевского муниципального округа Ставропольского края за 2022 год</w:t>
      </w:r>
      <w:r w:rsidR="00CC6B6B">
        <w:t xml:space="preserve"> (далее – отчет)</w:t>
      </w:r>
      <w:r w:rsidR="00A769D4">
        <w:t xml:space="preserve"> </w:t>
      </w:r>
      <w:r w:rsidRPr="000F60C3">
        <w:t>подготовлен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551467" w:rsidRPr="00551467">
        <w:t xml:space="preserve"> (далее – Федеральный закон № 6-ФЗ)</w:t>
      </w:r>
      <w:r w:rsidRPr="000F60C3">
        <w:t xml:space="preserve"> и статьей </w:t>
      </w:r>
      <w:r w:rsidR="00A769D4">
        <w:t>20</w:t>
      </w:r>
      <w:r w:rsidRPr="000F60C3">
        <w:t xml:space="preserve"> Положения о Контрольно-счетной комиссии Грачевского муниципального округа Ставропольского края</w:t>
      </w:r>
      <w:r w:rsidR="00812E74">
        <w:rPr>
          <w:rStyle w:val="a6"/>
        </w:rPr>
        <w:footnoteReference w:id="1"/>
      </w:r>
      <w:r w:rsidRPr="000F60C3">
        <w:t xml:space="preserve">. </w:t>
      </w:r>
    </w:p>
    <w:p w:rsidR="00CC6B6B" w:rsidRPr="00CC6B6B" w:rsidRDefault="00CC6B6B" w:rsidP="00A77442">
      <w:pPr>
        <w:pStyle w:val="a5"/>
      </w:pPr>
      <w:r w:rsidRPr="00CC6B6B">
        <w:t>Контрольно-счетная комиссия является постоянно действующим органом внешнего муниципального финансового контроля (далее – ВМФК) Грачевского муниципального округа</w:t>
      </w:r>
      <w:r w:rsidR="00624E75">
        <w:t xml:space="preserve"> Ставропольского края, подотчетна</w:t>
      </w:r>
      <w:r w:rsidRPr="00CC6B6B">
        <w:t xml:space="preserve"> Совету Грачевского муниципального округа Ставропольского края, обладает организационной и функциональной независимостью и осуществляет свою деятельность самостоятельно (ст. 1 Положения о Контрольно-счетной комиссии).</w:t>
      </w:r>
    </w:p>
    <w:p w:rsidR="00B86487" w:rsidRPr="00CC6B6B" w:rsidRDefault="00B86487" w:rsidP="00A77442">
      <w:pPr>
        <w:pStyle w:val="a5"/>
      </w:pPr>
      <w:r w:rsidRPr="00CC6B6B">
        <w:t xml:space="preserve">В настоящем </w:t>
      </w:r>
      <w:r w:rsidR="00CC6B6B">
        <w:t>о</w:t>
      </w:r>
      <w:r w:rsidRPr="00CC6B6B">
        <w:t>тчете отражены результаты деятельности Контрольно-счетной комиссии в 2022 году по реализации возложенных на нее полномочий.</w:t>
      </w:r>
    </w:p>
    <w:p w:rsidR="00B86487" w:rsidRDefault="00551467" w:rsidP="00A77442">
      <w:pPr>
        <w:pStyle w:val="a5"/>
      </w:pPr>
      <w:r w:rsidRPr="00551467">
        <w:t>Полномочия Контрольно-счетной комиссии определены Бюджетным кодексом РФ, Федеральным законом № 6-ФЗ, Уставом Грачевского муниципального округа Ставропольского края, Положение</w:t>
      </w:r>
      <w:r>
        <w:t>м</w:t>
      </w:r>
      <w:r w:rsidRPr="00551467">
        <w:t xml:space="preserve"> Контрольно-счетной комиссии, иными федеральными законами и нормативными правовыми актами Российской Федерации и Ставропольского края, правовыми актами Грачевского муниципального округа Ставропольского края.</w:t>
      </w:r>
    </w:p>
    <w:p w:rsidR="00CC6B6B" w:rsidRPr="00CE7F4D" w:rsidRDefault="00624E75" w:rsidP="00A77442">
      <w:pPr>
        <w:pStyle w:val="a5"/>
        <w:spacing w:before="280"/>
      </w:pPr>
      <w:r w:rsidRPr="00CE7F4D">
        <w:t xml:space="preserve">В процессе реализации основных полномочий Контрольно-счетная комиссия обеспечивает единую систему контроля </w:t>
      </w:r>
      <w:r w:rsidR="00CC6B6B" w:rsidRPr="00CE7F4D">
        <w:t xml:space="preserve">за формированием и исполнением </w:t>
      </w:r>
      <w:r w:rsidR="00CE7F4D" w:rsidRPr="00CE7F4D">
        <w:t>бюджета</w:t>
      </w:r>
      <w:r w:rsidR="00CC6B6B" w:rsidRPr="00CE7F4D">
        <w:t xml:space="preserve"> Грачевского муниципального округа Ставропольского края, использованием и распоряжением муниципальной собственности на всех </w:t>
      </w:r>
      <w:r w:rsidR="00CC6B6B" w:rsidRPr="00CE7F4D">
        <w:lastRenderedPageBreak/>
        <w:t>стадиях бюджетного процесса.</w:t>
      </w:r>
    </w:p>
    <w:p w:rsidR="00B86487" w:rsidRPr="00CC6B6B" w:rsidRDefault="00CC6B6B" w:rsidP="00A77442">
      <w:pPr>
        <w:pStyle w:val="a5"/>
      </w:pPr>
      <w:r w:rsidRPr="00CC6B6B">
        <w:t xml:space="preserve"> Основной целью деятельности Контрольно-счетной комиссии является выявление недостатков и нарушений при использовании средств бюджета Грачевского муниципального округа Ставропольского края и муниципальной собственности, а также разработка эффективных механизмов по их профилактике и предупреждению.</w:t>
      </w:r>
    </w:p>
    <w:p w:rsidR="00367DEB" w:rsidRPr="000D2197" w:rsidRDefault="007A5914" w:rsidP="00083367">
      <w:pPr>
        <w:pStyle w:val="1"/>
      </w:pPr>
      <w:r w:rsidRPr="000D2197">
        <w:t xml:space="preserve">Основные </w:t>
      </w:r>
      <w:r w:rsidR="001B731A" w:rsidRPr="000D2197">
        <w:t>итоги</w:t>
      </w:r>
      <w:r w:rsidR="00A77442">
        <w:t xml:space="preserve"> </w:t>
      </w:r>
      <w:r w:rsidRPr="000D2197">
        <w:t>деятельности</w:t>
      </w:r>
      <w:r w:rsidR="000D2197">
        <w:br/>
      </w:r>
      <w:r w:rsidRPr="000D2197">
        <w:t>Контрольно-счетной комиссии в 202</w:t>
      </w:r>
      <w:r w:rsidR="00527077" w:rsidRPr="000D2197">
        <w:t>2</w:t>
      </w:r>
      <w:r w:rsidRPr="000D2197">
        <w:t xml:space="preserve"> году</w:t>
      </w:r>
    </w:p>
    <w:p w:rsidR="000027D5" w:rsidRPr="000027D5" w:rsidRDefault="000027D5" w:rsidP="00A77442">
      <w:pPr>
        <w:pStyle w:val="a5"/>
      </w:pPr>
      <w:r w:rsidRPr="000027D5">
        <w:t xml:space="preserve">На основании ст.12 Федерального закона № 6-ФЗ Контрольно-счетная комиссия </w:t>
      </w:r>
      <w:r w:rsidR="00527077" w:rsidRPr="00527077">
        <w:t>осуществляет свою деятельность в соответствии с планом работы</w:t>
      </w:r>
      <w:r w:rsidRPr="000027D5">
        <w:t xml:space="preserve">. </w:t>
      </w:r>
    </w:p>
    <w:p w:rsidR="000027D5" w:rsidRDefault="000027D5" w:rsidP="00A77442">
      <w:pPr>
        <w:pStyle w:val="a5"/>
      </w:pPr>
      <w:r w:rsidRPr="000027D5">
        <w:t>В план работы на 202</w:t>
      </w:r>
      <w:r w:rsidR="00624E75">
        <w:t>2</w:t>
      </w:r>
      <w:r w:rsidRPr="000027D5">
        <w:t xml:space="preserve"> год включены мероприятия, которые позволили охватить основные отрасли и направления расходов, предусмотренные бюджетом Грачевского муниципального округа Ставропольского края, а также обеспечить исполнение полномочий Контрольно-счетной комиссии.</w:t>
      </w:r>
    </w:p>
    <w:p w:rsidR="00C03733" w:rsidRPr="00195FB4" w:rsidRDefault="00C03733" w:rsidP="00A77442">
      <w:pPr>
        <w:pStyle w:val="a5"/>
        <w:rPr>
          <w:strike/>
        </w:rPr>
      </w:pPr>
      <w:r w:rsidRPr="00C03733">
        <w:t>Всего в 202</w:t>
      </w:r>
      <w:r w:rsidR="00A17B5B">
        <w:t>2</w:t>
      </w:r>
      <w:r w:rsidRPr="00C03733">
        <w:t xml:space="preserve"> году </w:t>
      </w:r>
      <w:r>
        <w:t>КСК</w:t>
      </w:r>
      <w:r w:rsidRPr="00C03733">
        <w:t xml:space="preserve"> проведено </w:t>
      </w:r>
      <w:r w:rsidR="00A17B5B">
        <w:t>33</w:t>
      </w:r>
      <w:r w:rsidRPr="00C03733">
        <w:t xml:space="preserve"> контрольных и экспертно-аналитических меро</w:t>
      </w:r>
      <w:r w:rsidR="00886965">
        <w:t xml:space="preserve">приятий </w:t>
      </w:r>
      <w:r w:rsidR="00886965" w:rsidRPr="00886965">
        <w:t>(</w:t>
      </w:r>
      <w:r w:rsidR="00A17B5B">
        <w:t>19</w:t>
      </w:r>
      <w:r w:rsidR="00886965" w:rsidRPr="00886965">
        <w:t xml:space="preserve"> контрольных и </w:t>
      </w:r>
      <w:r w:rsidR="00A17B5B">
        <w:t>14</w:t>
      </w:r>
      <w:r w:rsidR="00886965" w:rsidRPr="00886965">
        <w:t xml:space="preserve"> экспертно-аналитических</w:t>
      </w:r>
      <w:r w:rsidR="00135A07" w:rsidRPr="00135A07">
        <w:t xml:space="preserve"> мероприятий</w:t>
      </w:r>
      <w:r w:rsidR="00886965" w:rsidRPr="00886965">
        <w:t>)</w:t>
      </w:r>
      <w:r w:rsidR="00710E00">
        <w:t>.</w:t>
      </w:r>
      <w:r w:rsidR="00195FB4">
        <w:t xml:space="preserve"> </w:t>
      </w:r>
      <w:r w:rsidR="00EF45D7" w:rsidRPr="00EF45D7">
        <w:t xml:space="preserve">В рамках </w:t>
      </w:r>
      <w:r w:rsidR="00B2338C">
        <w:t>3</w:t>
      </w:r>
      <w:r w:rsidR="00BB5A4E">
        <w:t> </w:t>
      </w:r>
      <w:r w:rsidR="00EF45D7" w:rsidRPr="00EF45D7">
        <w:t>контрольных</w:t>
      </w:r>
      <w:r w:rsidR="00EF45D7">
        <w:t xml:space="preserve"> </w:t>
      </w:r>
      <w:r w:rsidR="00EF45D7" w:rsidRPr="00EF45D7">
        <w:t xml:space="preserve">мероприятий проводился аудит в сфере закупок товаров, работ и услуг. </w:t>
      </w:r>
    </w:p>
    <w:p w:rsidR="00886965" w:rsidRPr="00803890" w:rsidRDefault="001E1218" w:rsidP="00A77442">
      <w:pPr>
        <w:pStyle w:val="a5"/>
      </w:pPr>
      <w:r w:rsidRPr="00803890">
        <w:t>22</w:t>
      </w:r>
      <w:r w:rsidR="00886965" w:rsidRPr="00803890">
        <w:t xml:space="preserve"> </w:t>
      </w:r>
      <w:r w:rsidR="00710E00" w:rsidRPr="00803890">
        <w:t xml:space="preserve">учреждения и </w:t>
      </w:r>
      <w:r w:rsidR="00886965" w:rsidRPr="00803890">
        <w:t>организаци</w:t>
      </w:r>
      <w:r w:rsidR="00F37E82" w:rsidRPr="00803890">
        <w:t>и</w:t>
      </w:r>
      <w:r w:rsidR="00886965" w:rsidRPr="00803890">
        <w:t xml:space="preserve"> стали объектами контрольных и</w:t>
      </w:r>
      <w:r w:rsidR="00A77442" w:rsidRPr="00803890">
        <w:t xml:space="preserve"> </w:t>
      </w:r>
      <w:r w:rsidR="00886965" w:rsidRPr="00803890">
        <w:t>экспертно-аналитических мероприятий (далее – объекты КМ и ЭАМ) в отчетном периоде, из них:</w:t>
      </w:r>
    </w:p>
    <w:p w:rsidR="001E1218" w:rsidRPr="00803890" w:rsidRDefault="00710E00" w:rsidP="00083367">
      <w:pPr>
        <w:pStyle w:val="20"/>
      </w:pPr>
      <w:r w:rsidRPr="00803890">
        <w:t>3</w:t>
      </w:r>
      <w:r w:rsidR="00886965" w:rsidRPr="00803890">
        <w:t xml:space="preserve"> </w:t>
      </w:r>
      <w:r w:rsidR="00D42A34" w:rsidRPr="00803890">
        <w:t>орган</w:t>
      </w:r>
      <w:r w:rsidRPr="00803890">
        <w:t>а</w:t>
      </w:r>
      <w:r w:rsidR="00EA4DB8" w:rsidRPr="00803890">
        <w:t xml:space="preserve"> местного самоуправления</w:t>
      </w:r>
      <w:r w:rsidR="001E1218" w:rsidRPr="00803890">
        <w:t>;</w:t>
      </w:r>
    </w:p>
    <w:p w:rsidR="00886965" w:rsidRPr="00803890" w:rsidRDefault="00710E00" w:rsidP="00083367">
      <w:pPr>
        <w:pStyle w:val="20"/>
      </w:pPr>
      <w:r w:rsidRPr="00803890">
        <w:t xml:space="preserve">16 </w:t>
      </w:r>
      <w:r w:rsidR="00BB5A4E" w:rsidRPr="00803890">
        <w:t>структурных</w:t>
      </w:r>
      <w:r w:rsidR="00D42A34" w:rsidRPr="00803890">
        <w:t xml:space="preserve"> и территориальных подразделений исполнительно-распорядительного органа </w:t>
      </w:r>
      <w:r w:rsidR="00EA4DB8" w:rsidRPr="00803890">
        <w:t>Грачевского муниципального округа Ставропольского края</w:t>
      </w:r>
      <w:r w:rsidR="00886965" w:rsidRPr="00803890">
        <w:t>;</w:t>
      </w:r>
    </w:p>
    <w:p w:rsidR="00886965" w:rsidRPr="00886965" w:rsidRDefault="00710E00" w:rsidP="00083367">
      <w:pPr>
        <w:pStyle w:val="20"/>
      </w:pPr>
      <w:r w:rsidRPr="00803890">
        <w:t>3</w:t>
      </w:r>
      <w:r w:rsidR="00886965" w:rsidRPr="00803890">
        <w:t xml:space="preserve"> муниципальны</w:t>
      </w:r>
      <w:r w:rsidR="001E1218" w:rsidRPr="00803890">
        <w:t>е</w:t>
      </w:r>
      <w:r w:rsidR="00886965" w:rsidRPr="00803890">
        <w:t xml:space="preserve"> казенны</w:t>
      </w:r>
      <w:r w:rsidR="001E1218" w:rsidRPr="00803890">
        <w:t>е</w:t>
      </w:r>
      <w:r w:rsidR="00886965" w:rsidRPr="00803890">
        <w:t xml:space="preserve"> учреждения</w:t>
      </w:r>
      <w:r w:rsidR="00367F0B" w:rsidRPr="00803890">
        <w:t>.</w:t>
      </w:r>
    </w:p>
    <w:p w:rsidR="00E34B87" w:rsidRPr="00E34B87" w:rsidRDefault="001E1218" w:rsidP="00A77442">
      <w:pPr>
        <w:pStyle w:val="a5"/>
        <w:rPr>
          <w:rFonts w:eastAsia="Times New Roman"/>
        </w:rPr>
      </w:pPr>
      <w:r w:rsidRPr="001E1218">
        <w:t>Всего по итогам контрольных и экспертно</w:t>
      </w:r>
      <w:r>
        <w:t>-</w:t>
      </w:r>
      <w:r w:rsidRPr="001E1218">
        <w:t xml:space="preserve">аналитических мероприятий объем проверенных средств </w:t>
      </w:r>
      <w:r>
        <w:t xml:space="preserve">составил </w:t>
      </w:r>
      <w:r w:rsidR="00135A07" w:rsidRPr="00135A07">
        <w:t>1</w:t>
      </w:r>
      <w:r w:rsidR="00135A07">
        <w:t xml:space="preserve"> </w:t>
      </w:r>
      <w:r w:rsidR="00135A07" w:rsidRPr="00135A07">
        <w:t>429</w:t>
      </w:r>
      <w:r w:rsidR="00135A07">
        <w:t xml:space="preserve"> </w:t>
      </w:r>
      <w:r w:rsidR="00135A07" w:rsidRPr="00135A07">
        <w:t>127,21</w:t>
      </w:r>
      <w:r w:rsidR="00135A07">
        <w:t xml:space="preserve"> </w:t>
      </w:r>
      <w:r>
        <w:t>тыс. рублей</w:t>
      </w:r>
      <w:r w:rsidRPr="001E1218">
        <w:t xml:space="preserve">. </w:t>
      </w:r>
    </w:p>
    <w:p w:rsidR="00046BA5" w:rsidRDefault="00135A07" w:rsidP="00A77442">
      <w:pPr>
        <w:pStyle w:val="a5"/>
        <w:rPr>
          <w:rFonts w:eastAsia="Times New Roman"/>
        </w:rPr>
      </w:pPr>
      <w:r w:rsidRPr="00135A07">
        <w:rPr>
          <w:rFonts w:eastAsia="Times New Roman"/>
        </w:rPr>
        <w:t>По результатам контрольной и экспертно-аналитической деятельности за 202</w:t>
      </w:r>
      <w:r>
        <w:rPr>
          <w:rFonts w:eastAsia="Times New Roman"/>
        </w:rPr>
        <w:t>2</w:t>
      </w:r>
      <w:r w:rsidRPr="00135A07">
        <w:rPr>
          <w:rFonts w:eastAsia="Times New Roman"/>
        </w:rPr>
        <w:t xml:space="preserve"> год Контрольно-счетн</w:t>
      </w:r>
      <w:r>
        <w:rPr>
          <w:rFonts w:eastAsia="Times New Roman"/>
        </w:rPr>
        <w:t>ой</w:t>
      </w:r>
      <w:r w:rsidRPr="00135A07">
        <w:rPr>
          <w:rFonts w:eastAsia="Times New Roman"/>
        </w:rPr>
        <w:t xml:space="preserve"> комисси</w:t>
      </w:r>
      <w:r>
        <w:rPr>
          <w:rFonts w:eastAsia="Times New Roman"/>
        </w:rPr>
        <w:t>ей</w:t>
      </w:r>
      <w:r w:rsidRPr="00135A07">
        <w:rPr>
          <w:rFonts w:eastAsia="Times New Roman"/>
        </w:rPr>
        <w:t xml:space="preserve"> было выявлено </w:t>
      </w:r>
      <w:r w:rsidR="001F1C82" w:rsidRPr="00803890">
        <w:rPr>
          <w:rFonts w:eastAsia="Times New Roman"/>
        </w:rPr>
        <w:t xml:space="preserve">273 </w:t>
      </w:r>
      <w:r w:rsidRPr="00135A07">
        <w:rPr>
          <w:rFonts w:eastAsia="Times New Roman"/>
        </w:rPr>
        <w:t>нарушени</w:t>
      </w:r>
      <w:r w:rsidR="001F1C82">
        <w:rPr>
          <w:rFonts w:eastAsia="Times New Roman"/>
        </w:rPr>
        <w:t>я</w:t>
      </w:r>
      <w:r>
        <w:rPr>
          <w:rFonts w:eastAsia="Times New Roman"/>
        </w:rPr>
        <w:t>,</w:t>
      </w:r>
      <w:r w:rsidRPr="00135A07">
        <w:rPr>
          <w:rFonts w:eastAsia="Times New Roman"/>
        </w:rPr>
        <w:t xml:space="preserve"> </w:t>
      </w:r>
      <w:r>
        <w:rPr>
          <w:rFonts w:eastAsia="Times New Roman"/>
        </w:rPr>
        <w:t>которые</w:t>
      </w:r>
      <w:r w:rsidR="00590A97" w:rsidRPr="00590A97">
        <w:rPr>
          <w:rFonts w:eastAsia="Times New Roman"/>
        </w:rPr>
        <w:t xml:space="preserve"> учитывались как в суммовом, так и в количественном выражении в соответствии </w:t>
      </w:r>
      <w:r w:rsidR="00590A97" w:rsidRPr="007A390B">
        <w:rPr>
          <w:rFonts w:eastAsia="Times New Roman"/>
        </w:rPr>
        <w:t>с Классификатором нарушений</w:t>
      </w:r>
      <w:r w:rsidR="00A77442">
        <w:rPr>
          <w:rStyle w:val="a6"/>
          <w:rFonts w:eastAsia="Times New Roman"/>
        </w:rPr>
        <w:footnoteReference w:id="2"/>
      </w:r>
      <w:r w:rsidR="00085B79">
        <w:rPr>
          <w:rFonts w:eastAsia="Times New Roman"/>
        </w:rPr>
        <w:t>.</w:t>
      </w:r>
      <w:r w:rsidR="00184C3B">
        <w:rPr>
          <w:rFonts w:eastAsia="Times New Roman"/>
        </w:rPr>
        <w:t xml:space="preserve"> </w:t>
      </w:r>
    </w:p>
    <w:p w:rsidR="001F1FBC" w:rsidRDefault="004C3A9C" w:rsidP="00A77442">
      <w:pPr>
        <w:pStyle w:val="a5"/>
        <w:rPr>
          <w:rFonts w:eastAsia="Times New Roman"/>
        </w:rPr>
      </w:pPr>
      <w:r w:rsidRPr="004C3A9C">
        <w:rPr>
          <w:rFonts w:eastAsia="Times New Roman"/>
        </w:rPr>
        <w:t>Структура нарушений согласно Классификатору выглядит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8"/>
        <w:gridCol w:w="5806"/>
        <w:gridCol w:w="852"/>
        <w:gridCol w:w="1276"/>
        <w:gridCol w:w="1330"/>
      </w:tblGrid>
      <w:tr w:rsidR="00046BA5" w:rsidRPr="00220641" w:rsidTr="00812E74">
        <w:trPr>
          <w:trHeight w:val="20"/>
        </w:trPr>
        <w:tc>
          <w:tcPr>
            <w:tcW w:w="250" w:type="pct"/>
            <w:vMerge w:val="restart"/>
            <w:vAlign w:val="center"/>
          </w:tcPr>
          <w:p w:rsidR="00046BA5" w:rsidRPr="009E66F9" w:rsidRDefault="00A77442"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hAnsi="Times New Roman" w:cs="Times New Roman"/>
                <w:sz w:val="28"/>
                <w:szCs w:val="28"/>
              </w:rPr>
              <w:lastRenderedPageBreak/>
              <w:t xml:space="preserve"> </w:t>
            </w:r>
            <w:r w:rsidR="00046BA5" w:rsidRPr="009E66F9">
              <w:rPr>
                <w:rFonts w:ascii="Times New Roman" w:hAnsi="Times New Roman" w:cs="Times New Roman"/>
                <w:sz w:val="20"/>
                <w:szCs w:val="20"/>
              </w:rPr>
              <w:t>№ п/п</w:t>
            </w:r>
          </w:p>
        </w:tc>
        <w:tc>
          <w:tcPr>
            <w:tcW w:w="2977" w:type="pct"/>
            <w:vMerge w:val="restart"/>
            <w:vAlign w:val="center"/>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Наименование группы нарушений</w:t>
            </w:r>
          </w:p>
        </w:tc>
        <w:tc>
          <w:tcPr>
            <w:tcW w:w="1773" w:type="pct"/>
            <w:gridSpan w:val="3"/>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Выявлено нарушений</w:t>
            </w:r>
          </w:p>
        </w:tc>
      </w:tr>
      <w:tr w:rsidR="00046BA5" w:rsidRPr="00220641" w:rsidTr="00812E74">
        <w:trPr>
          <w:trHeight w:val="20"/>
        </w:trPr>
        <w:tc>
          <w:tcPr>
            <w:tcW w:w="250" w:type="pct"/>
            <w:vMerge/>
            <w:vAlign w:val="center"/>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p>
        </w:tc>
        <w:tc>
          <w:tcPr>
            <w:tcW w:w="2977" w:type="pct"/>
            <w:vMerge/>
            <w:vAlign w:val="center"/>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p>
        </w:tc>
        <w:tc>
          <w:tcPr>
            <w:tcW w:w="437" w:type="pct"/>
            <w:vMerge w:val="restart"/>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Кол-во</w:t>
            </w:r>
          </w:p>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(ед.)</w:t>
            </w:r>
          </w:p>
        </w:tc>
        <w:tc>
          <w:tcPr>
            <w:tcW w:w="1336" w:type="pct"/>
            <w:gridSpan w:val="2"/>
          </w:tcPr>
          <w:p w:rsidR="00046BA5" w:rsidRPr="009E66F9" w:rsidRDefault="00BB5A4E" w:rsidP="00812E74">
            <w:pPr>
              <w:keepNext/>
              <w:spacing w:after="0" w:line="240" w:lineRule="exact"/>
              <w:jc w:val="center"/>
              <w:rPr>
                <w:rFonts w:ascii="Times New Roman" w:hAnsi="Times New Roman" w:cs="Times New Roman"/>
                <w:sz w:val="20"/>
                <w:szCs w:val="20"/>
              </w:rPr>
            </w:pPr>
            <w:r w:rsidRPr="009E66F9">
              <w:rPr>
                <w:rFonts w:ascii="Times New Roman" w:hAnsi="Times New Roman" w:cs="Times New Roman"/>
                <w:sz w:val="20"/>
                <w:szCs w:val="20"/>
              </w:rPr>
              <w:t>в т</w:t>
            </w:r>
            <w:r w:rsidR="009E66F9">
              <w:rPr>
                <w:rFonts w:ascii="Times New Roman" w:hAnsi="Times New Roman" w:cs="Times New Roman"/>
                <w:sz w:val="20"/>
                <w:szCs w:val="20"/>
              </w:rPr>
              <w:t xml:space="preserve">ом </w:t>
            </w:r>
            <w:r w:rsidRPr="009E66F9">
              <w:rPr>
                <w:rFonts w:ascii="Times New Roman" w:hAnsi="Times New Roman" w:cs="Times New Roman"/>
                <w:sz w:val="20"/>
                <w:szCs w:val="20"/>
              </w:rPr>
              <w:t>ч</w:t>
            </w:r>
            <w:r w:rsidR="009E66F9">
              <w:rPr>
                <w:rFonts w:ascii="Times New Roman" w:hAnsi="Times New Roman" w:cs="Times New Roman"/>
                <w:sz w:val="20"/>
                <w:szCs w:val="20"/>
              </w:rPr>
              <w:t>исле</w:t>
            </w:r>
            <w:r w:rsidRPr="009E66F9">
              <w:rPr>
                <w:rFonts w:ascii="Times New Roman" w:hAnsi="Times New Roman" w:cs="Times New Roman"/>
                <w:sz w:val="20"/>
                <w:szCs w:val="20"/>
              </w:rPr>
              <w:t>, имею</w:t>
            </w:r>
            <w:r w:rsidR="009E66F9">
              <w:rPr>
                <w:rFonts w:ascii="Times New Roman" w:hAnsi="Times New Roman" w:cs="Times New Roman"/>
                <w:sz w:val="20"/>
                <w:szCs w:val="20"/>
              </w:rPr>
              <w:t>щ</w:t>
            </w:r>
            <w:r w:rsidRPr="009E66F9">
              <w:rPr>
                <w:rFonts w:ascii="Times New Roman" w:hAnsi="Times New Roman" w:cs="Times New Roman"/>
                <w:sz w:val="20"/>
                <w:szCs w:val="20"/>
              </w:rPr>
              <w:t>и</w:t>
            </w:r>
            <w:r w:rsidR="009E66F9">
              <w:rPr>
                <w:rFonts w:ascii="Times New Roman" w:hAnsi="Times New Roman" w:cs="Times New Roman"/>
                <w:sz w:val="20"/>
                <w:szCs w:val="20"/>
              </w:rPr>
              <w:t>е</w:t>
            </w:r>
            <w:r w:rsidR="00A77442">
              <w:rPr>
                <w:rFonts w:ascii="Times New Roman" w:hAnsi="Times New Roman" w:cs="Times New Roman"/>
                <w:sz w:val="20"/>
                <w:szCs w:val="20"/>
              </w:rPr>
              <w:t xml:space="preserve"> </w:t>
            </w:r>
            <w:r w:rsidR="00046BA5" w:rsidRPr="009E66F9">
              <w:rPr>
                <w:rFonts w:ascii="Times New Roman" w:hAnsi="Times New Roman" w:cs="Times New Roman"/>
                <w:sz w:val="20"/>
                <w:szCs w:val="20"/>
              </w:rPr>
              <w:t>стоимостное выражение</w:t>
            </w:r>
          </w:p>
        </w:tc>
      </w:tr>
      <w:tr w:rsidR="00046BA5" w:rsidRPr="00220641" w:rsidTr="00812E74">
        <w:trPr>
          <w:trHeight w:val="20"/>
        </w:trPr>
        <w:tc>
          <w:tcPr>
            <w:tcW w:w="250" w:type="pct"/>
            <w:vMerge/>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p>
        </w:tc>
        <w:tc>
          <w:tcPr>
            <w:tcW w:w="2977" w:type="pct"/>
            <w:vMerge/>
          </w:tcPr>
          <w:p w:rsidR="00046BA5" w:rsidRPr="009E66F9" w:rsidRDefault="00046BA5" w:rsidP="00812E74">
            <w:pPr>
              <w:keepNext/>
              <w:widowControl w:val="0"/>
              <w:tabs>
                <w:tab w:val="left" w:pos="-3366"/>
              </w:tabs>
              <w:spacing w:after="0" w:line="240" w:lineRule="auto"/>
              <w:rPr>
                <w:rFonts w:ascii="Times New Roman" w:eastAsia="Times New Roman" w:hAnsi="Times New Roman" w:cs="Times New Roman"/>
                <w:sz w:val="20"/>
                <w:szCs w:val="20"/>
              </w:rPr>
            </w:pPr>
          </w:p>
        </w:tc>
        <w:tc>
          <w:tcPr>
            <w:tcW w:w="437" w:type="pct"/>
            <w:vMerge/>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p>
        </w:tc>
        <w:tc>
          <w:tcPr>
            <w:tcW w:w="654" w:type="pct"/>
            <w:vAlign w:val="center"/>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Кол-во</w:t>
            </w:r>
          </w:p>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(ед.)</w:t>
            </w:r>
          </w:p>
        </w:tc>
        <w:tc>
          <w:tcPr>
            <w:tcW w:w="682" w:type="pct"/>
            <w:vAlign w:val="center"/>
          </w:tcPr>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Сумма</w:t>
            </w:r>
            <w:r w:rsidR="00223A78">
              <w:rPr>
                <w:rStyle w:val="a6"/>
                <w:rFonts w:ascii="Times New Roman" w:eastAsia="Times New Roman" w:hAnsi="Times New Roman" w:cs="Times New Roman"/>
                <w:sz w:val="20"/>
                <w:szCs w:val="20"/>
              </w:rPr>
              <w:footnoteReference w:id="3"/>
            </w:r>
          </w:p>
          <w:p w:rsidR="00046BA5" w:rsidRPr="009E66F9" w:rsidRDefault="00046BA5"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9E66F9">
              <w:rPr>
                <w:rFonts w:ascii="Times New Roman" w:eastAsia="Times New Roman" w:hAnsi="Times New Roman" w:cs="Times New Roman"/>
                <w:sz w:val="20"/>
                <w:szCs w:val="20"/>
              </w:rPr>
              <w:t>(тыс. рублей)</w:t>
            </w:r>
          </w:p>
        </w:tc>
      </w:tr>
      <w:tr w:rsidR="009E66F9" w:rsidRPr="00220641" w:rsidTr="00812E74">
        <w:trPr>
          <w:trHeight w:val="20"/>
        </w:trPr>
        <w:tc>
          <w:tcPr>
            <w:tcW w:w="250" w:type="pct"/>
            <w:shd w:val="clear" w:color="auto" w:fill="auto"/>
          </w:tcPr>
          <w:p w:rsidR="009E66F9" w:rsidRPr="003E2D63"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3E2D63">
              <w:rPr>
                <w:rFonts w:ascii="Times New Roman" w:eastAsia="Times New Roman" w:hAnsi="Times New Roman" w:cs="Times New Roman"/>
                <w:sz w:val="20"/>
                <w:szCs w:val="20"/>
              </w:rPr>
              <w:t>1</w:t>
            </w:r>
          </w:p>
        </w:tc>
        <w:tc>
          <w:tcPr>
            <w:tcW w:w="2977" w:type="pct"/>
            <w:shd w:val="clear" w:color="auto" w:fill="auto"/>
          </w:tcPr>
          <w:p w:rsidR="009E66F9" w:rsidRPr="003E2D63" w:rsidRDefault="009E66F9" w:rsidP="00812E74">
            <w:pPr>
              <w:keepNext/>
              <w:widowControl w:val="0"/>
              <w:tabs>
                <w:tab w:val="left" w:pos="-3366"/>
              </w:tabs>
              <w:spacing w:after="0" w:line="240" w:lineRule="auto"/>
              <w:rPr>
                <w:rFonts w:ascii="Times New Roman" w:eastAsia="Times New Roman" w:hAnsi="Times New Roman" w:cs="Times New Roman"/>
                <w:sz w:val="20"/>
                <w:szCs w:val="20"/>
              </w:rPr>
            </w:pPr>
            <w:r w:rsidRPr="003E2D63">
              <w:rPr>
                <w:rFonts w:ascii="Times New Roman" w:eastAsia="Times New Roman" w:hAnsi="Times New Roman" w:cs="Times New Roman"/>
                <w:sz w:val="20"/>
                <w:szCs w:val="20"/>
              </w:rPr>
              <w:t>Нарушения при формировании и исполнение бюджетов</w:t>
            </w:r>
          </w:p>
        </w:tc>
        <w:tc>
          <w:tcPr>
            <w:tcW w:w="437" w:type="pct"/>
            <w:shd w:val="clear" w:color="auto" w:fill="auto"/>
            <w:vAlign w:val="center"/>
          </w:tcPr>
          <w:p w:rsidR="009E66F9" w:rsidRPr="003E2D63"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3E2D63">
              <w:rPr>
                <w:rFonts w:ascii="Times New Roman" w:eastAsia="Times New Roman" w:hAnsi="Times New Roman" w:cs="Times New Roman"/>
                <w:sz w:val="20"/>
                <w:szCs w:val="20"/>
              </w:rPr>
              <w:t>1</w:t>
            </w:r>
            <w:r w:rsidR="0039207F" w:rsidRPr="003E2D63">
              <w:rPr>
                <w:rFonts w:ascii="Times New Roman" w:eastAsia="Times New Roman" w:hAnsi="Times New Roman" w:cs="Times New Roman"/>
                <w:sz w:val="20"/>
                <w:szCs w:val="20"/>
              </w:rPr>
              <w:t>8</w:t>
            </w:r>
          </w:p>
        </w:tc>
        <w:tc>
          <w:tcPr>
            <w:tcW w:w="654" w:type="pct"/>
            <w:shd w:val="clear" w:color="auto" w:fill="auto"/>
            <w:vAlign w:val="center"/>
          </w:tcPr>
          <w:p w:rsidR="009E66F9" w:rsidRPr="003E2D63"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3E2D63">
              <w:rPr>
                <w:rFonts w:ascii="Times New Roman" w:eastAsia="Times New Roman" w:hAnsi="Times New Roman" w:cs="Times New Roman"/>
                <w:sz w:val="20"/>
                <w:szCs w:val="20"/>
              </w:rPr>
              <w:t>0</w:t>
            </w:r>
          </w:p>
        </w:tc>
        <w:tc>
          <w:tcPr>
            <w:tcW w:w="682" w:type="pct"/>
            <w:shd w:val="clear" w:color="auto" w:fill="auto"/>
            <w:vAlign w:val="center"/>
          </w:tcPr>
          <w:p w:rsidR="009E66F9" w:rsidRPr="003E2D63"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sidRPr="003E2D63">
              <w:rPr>
                <w:rFonts w:ascii="Times New Roman" w:eastAsia="Times New Roman" w:hAnsi="Times New Roman" w:cs="Times New Roman"/>
                <w:sz w:val="20"/>
                <w:szCs w:val="20"/>
              </w:rPr>
              <w:t>0</w:t>
            </w:r>
          </w:p>
        </w:tc>
      </w:tr>
      <w:tr w:rsidR="009E66F9" w:rsidRPr="00220641" w:rsidTr="00812E74">
        <w:trPr>
          <w:trHeight w:val="20"/>
        </w:trPr>
        <w:tc>
          <w:tcPr>
            <w:tcW w:w="250" w:type="pct"/>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77" w:type="pct"/>
          </w:tcPr>
          <w:p w:rsidR="009E66F9" w:rsidRPr="00046BA5" w:rsidRDefault="009E66F9" w:rsidP="00812E74">
            <w:pPr>
              <w:keepNext/>
              <w:widowControl w:val="0"/>
              <w:tabs>
                <w:tab w:val="left" w:pos="-3366"/>
              </w:tabs>
              <w:spacing w:after="0" w:line="240" w:lineRule="auto"/>
              <w:rPr>
                <w:rFonts w:ascii="Times New Roman" w:eastAsia="Times New Roman" w:hAnsi="Times New Roman" w:cs="Times New Roman"/>
                <w:sz w:val="20"/>
                <w:szCs w:val="20"/>
              </w:rPr>
            </w:pPr>
            <w:r w:rsidRPr="00046BA5">
              <w:rPr>
                <w:rFonts w:ascii="Times New Roman" w:eastAsia="Times New Roman" w:hAnsi="Times New Roman" w:cs="Times New Roman"/>
                <w:sz w:val="20"/>
                <w:szCs w:val="20"/>
              </w:rPr>
              <w:t>Нарушения ведения бухгалтерского учета,</w:t>
            </w:r>
            <w:r w:rsidR="00A77442">
              <w:rPr>
                <w:rFonts w:ascii="Times New Roman" w:eastAsia="Times New Roman" w:hAnsi="Times New Roman" w:cs="Times New Roman"/>
                <w:sz w:val="20"/>
                <w:szCs w:val="20"/>
              </w:rPr>
              <w:t xml:space="preserve"> </w:t>
            </w:r>
            <w:r w:rsidRPr="00046BA5">
              <w:rPr>
                <w:rFonts w:ascii="Times New Roman" w:eastAsia="Times New Roman" w:hAnsi="Times New Roman" w:cs="Times New Roman"/>
                <w:sz w:val="20"/>
                <w:szCs w:val="20"/>
              </w:rPr>
              <w:t>составления и предоставления бухгалтерской (финансовой) отчетности</w:t>
            </w:r>
          </w:p>
        </w:tc>
        <w:tc>
          <w:tcPr>
            <w:tcW w:w="437" w:type="pct"/>
            <w:vAlign w:val="center"/>
          </w:tcPr>
          <w:p w:rsidR="009E66F9" w:rsidRPr="00046BA5" w:rsidRDefault="0039207F"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654"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82"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9E66F9" w:rsidRPr="00220641" w:rsidTr="00812E74">
        <w:trPr>
          <w:trHeight w:val="20"/>
        </w:trPr>
        <w:tc>
          <w:tcPr>
            <w:tcW w:w="250" w:type="pct"/>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77" w:type="pct"/>
          </w:tcPr>
          <w:p w:rsidR="009E66F9" w:rsidRPr="00046BA5" w:rsidRDefault="009E66F9" w:rsidP="00812E74">
            <w:pPr>
              <w:keepNext/>
              <w:widowControl w:val="0"/>
              <w:tabs>
                <w:tab w:val="left" w:pos="-3366"/>
              </w:tabs>
              <w:spacing w:after="0" w:line="240" w:lineRule="auto"/>
              <w:rPr>
                <w:rFonts w:ascii="Times New Roman" w:eastAsia="Times New Roman" w:hAnsi="Times New Roman" w:cs="Times New Roman"/>
                <w:sz w:val="20"/>
                <w:szCs w:val="20"/>
              </w:rPr>
            </w:pPr>
            <w:r w:rsidRPr="005D21F9">
              <w:rPr>
                <w:rFonts w:ascii="Times New Roman" w:eastAsia="Times New Roman" w:hAnsi="Times New Roman" w:cs="Times New Roman"/>
                <w:sz w:val="20"/>
                <w:szCs w:val="20"/>
              </w:rPr>
              <w:t xml:space="preserve">Нарушения при осуществлении </w:t>
            </w:r>
            <w:r w:rsidR="003E2D63">
              <w:rPr>
                <w:rFonts w:ascii="Times New Roman" w:eastAsia="Times New Roman" w:hAnsi="Times New Roman" w:cs="Times New Roman"/>
                <w:sz w:val="20"/>
                <w:szCs w:val="20"/>
              </w:rPr>
              <w:t>г</w:t>
            </w:r>
            <w:r w:rsidRPr="005D21F9">
              <w:rPr>
                <w:rFonts w:ascii="Times New Roman" w:eastAsia="Times New Roman" w:hAnsi="Times New Roman" w:cs="Times New Roman"/>
                <w:sz w:val="20"/>
                <w:szCs w:val="20"/>
              </w:rPr>
              <w:t>осударственных (муниципальных) закупок и закупок отдельными видами юридических лиц</w:t>
            </w:r>
          </w:p>
        </w:tc>
        <w:tc>
          <w:tcPr>
            <w:tcW w:w="437"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171</w:t>
            </w:r>
          </w:p>
        </w:tc>
        <w:tc>
          <w:tcPr>
            <w:tcW w:w="654"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82"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383,63</w:t>
            </w:r>
          </w:p>
        </w:tc>
      </w:tr>
      <w:tr w:rsidR="009E66F9" w:rsidRPr="00220641" w:rsidTr="00812E74">
        <w:trPr>
          <w:trHeight w:val="20"/>
        </w:trPr>
        <w:tc>
          <w:tcPr>
            <w:tcW w:w="250" w:type="pct"/>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77" w:type="pct"/>
          </w:tcPr>
          <w:p w:rsidR="009E66F9" w:rsidRPr="00046BA5" w:rsidRDefault="009E66F9" w:rsidP="00812E74">
            <w:pPr>
              <w:keepNext/>
              <w:widowControl w:val="0"/>
              <w:tabs>
                <w:tab w:val="left" w:pos="-3366"/>
              </w:tabs>
              <w:spacing w:after="0" w:line="240" w:lineRule="auto"/>
              <w:rPr>
                <w:rFonts w:ascii="Times New Roman" w:eastAsia="Times New Roman" w:hAnsi="Times New Roman" w:cs="Times New Roman"/>
                <w:sz w:val="20"/>
                <w:szCs w:val="20"/>
              </w:rPr>
            </w:pPr>
            <w:r w:rsidRPr="00046BA5">
              <w:rPr>
                <w:rFonts w:ascii="Times New Roman" w:eastAsia="Times New Roman" w:hAnsi="Times New Roman" w:cs="Times New Roman"/>
                <w:sz w:val="20"/>
                <w:szCs w:val="20"/>
              </w:rPr>
              <w:t>Иные нарушения</w:t>
            </w:r>
          </w:p>
        </w:tc>
        <w:tc>
          <w:tcPr>
            <w:tcW w:w="437"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4"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82"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7,79</w:t>
            </w:r>
          </w:p>
        </w:tc>
      </w:tr>
      <w:tr w:rsidR="009E66F9" w:rsidRPr="00220641" w:rsidTr="00812E74">
        <w:trPr>
          <w:trHeight w:val="20"/>
        </w:trPr>
        <w:tc>
          <w:tcPr>
            <w:tcW w:w="3227" w:type="pct"/>
            <w:gridSpan w:val="2"/>
          </w:tcPr>
          <w:p w:rsidR="009E66F9" w:rsidRPr="00046BA5" w:rsidRDefault="009E66F9" w:rsidP="00812E74">
            <w:pPr>
              <w:keepNext/>
              <w:widowControl w:val="0"/>
              <w:tabs>
                <w:tab w:val="left" w:pos="-3366"/>
                <w:tab w:val="left" w:pos="1716"/>
              </w:tabs>
              <w:spacing w:after="0" w:line="240" w:lineRule="auto"/>
              <w:rPr>
                <w:rFonts w:ascii="Times New Roman" w:eastAsia="Times New Roman" w:hAnsi="Times New Roman" w:cs="Times New Roman"/>
                <w:b/>
                <w:sz w:val="20"/>
                <w:szCs w:val="20"/>
              </w:rPr>
            </w:pPr>
            <w:r w:rsidRPr="00046BA5">
              <w:rPr>
                <w:rFonts w:ascii="Times New Roman" w:eastAsia="Times New Roman" w:hAnsi="Times New Roman" w:cs="Times New Roman"/>
                <w:b/>
                <w:sz w:val="20"/>
                <w:szCs w:val="20"/>
              </w:rPr>
              <w:tab/>
              <w:t>Всего</w:t>
            </w:r>
          </w:p>
        </w:tc>
        <w:tc>
          <w:tcPr>
            <w:tcW w:w="437"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c>
          <w:tcPr>
            <w:tcW w:w="654"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682" w:type="pct"/>
            <w:vAlign w:val="center"/>
          </w:tcPr>
          <w:p w:rsidR="009E66F9" w:rsidRPr="00046BA5" w:rsidRDefault="009E66F9" w:rsidP="00812E74">
            <w:pPr>
              <w:keepNext/>
              <w:widowControl w:val="0"/>
              <w:tabs>
                <w:tab w:val="left" w:pos="-336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391,42</w:t>
            </w:r>
          </w:p>
        </w:tc>
      </w:tr>
    </w:tbl>
    <w:p w:rsidR="00184C3B" w:rsidRDefault="00E52E5A" w:rsidP="00812E74">
      <w:pPr>
        <w:pStyle w:val="a5"/>
        <w:spacing w:before="280"/>
      </w:pPr>
      <w:r w:rsidRPr="00E52E5A">
        <w:t>Сумма выявленных нарушений и недостатков</w:t>
      </w:r>
      <w:r w:rsidR="00A77442">
        <w:t xml:space="preserve"> </w:t>
      </w:r>
      <w:r w:rsidRPr="00E52E5A">
        <w:t xml:space="preserve">составила </w:t>
      </w:r>
      <w:r w:rsidR="00EC79AB" w:rsidRPr="00EC79AB">
        <w:t>391,42</w:t>
      </w:r>
      <w:r w:rsidR="00EC79AB">
        <w:t xml:space="preserve"> </w:t>
      </w:r>
      <w:r w:rsidRPr="00E52E5A">
        <w:t>тыс. руб</w:t>
      </w:r>
      <w:r>
        <w:t>лей</w:t>
      </w:r>
      <w:r w:rsidR="004C3A9C">
        <w:t>.</w:t>
      </w:r>
    </w:p>
    <w:p w:rsidR="004C3A9C" w:rsidRPr="004C3A9C" w:rsidRDefault="004C3A9C" w:rsidP="00812E74">
      <w:pPr>
        <w:pStyle w:val="a5"/>
      </w:pPr>
      <w:r w:rsidRPr="004C3A9C">
        <w:t xml:space="preserve">В 2022 году в структуре нарушений основную долю по стоимостной оценке составляют нарушения при осуществлении государственных (муниципальных) закупок и закупок отдельными видами юридических лиц. Нарушения законодательства о контрактной системе в сфере закупок в стоимостном выражении составили </w:t>
      </w:r>
      <w:r w:rsidRPr="00D21C95">
        <w:t xml:space="preserve">383,63 тыс. руб. или </w:t>
      </w:r>
      <w:r w:rsidR="005B6CFA" w:rsidRPr="00D21C95">
        <w:t>98,0</w:t>
      </w:r>
      <w:r w:rsidRPr="00D21C95">
        <w:t>%</w:t>
      </w:r>
      <w:r w:rsidRPr="004C3A9C">
        <w:t xml:space="preserve"> от общей суммы выявленных нарушений</w:t>
      </w:r>
      <w:r w:rsidR="00654746">
        <w:t xml:space="preserve"> </w:t>
      </w:r>
      <w:r w:rsidR="00654746" w:rsidRPr="00654746">
        <w:t>(</w:t>
      </w:r>
      <w:r w:rsidR="00654746" w:rsidRPr="00D21C95">
        <w:t>из них: неправомерное использование бюджетных средств</w:t>
      </w:r>
      <w:r w:rsidR="00A77442" w:rsidRPr="00D21C95">
        <w:t xml:space="preserve"> </w:t>
      </w:r>
      <w:r w:rsidR="00654746" w:rsidRPr="00D21C95">
        <w:t xml:space="preserve">– </w:t>
      </w:r>
      <w:r w:rsidR="006912F1" w:rsidRPr="00D21C95">
        <w:t>16,9</w:t>
      </w:r>
      <w:r w:rsidR="00654746" w:rsidRPr="00D21C95">
        <w:t xml:space="preserve"> тыс. рублей)</w:t>
      </w:r>
      <w:r w:rsidRPr="00D21C95">
        <w:t>.</w:t>
      </w:r>
    </w:p>
    <w:p w:rsidR="00ED6920" w:rsidRPr="00ED6920" w:rsidRDefault="00220641" w:rsidP="00812E74">
      <w:pPr>
        <w:pStyle w:val="a5"/>
      </w:pPr>
      <w:r>
        <w:t>И</w:t>
      </w:r>
      <w:r w:rsidRPr="00220641">
        <w:t>ные нарушения</w:t>
      </w:r>
      <w:r w:rsidR="00A77442">
        <w:t xml:space="preserve"> </w:t>
      </w:r>
      <w:r w:rsidR="00E14F08">
        <w:t>составили</w:t>
      </w:r>
      <w:r w:rsidR="00A77442">
        <w:t xml:space="preserve"> </w:t>
      </w:r>
      <w:r w:rsidR="00C645D5">
        <w:t>7,79</w:t>
      </w:r>
      <w:r w:rsidRPr="00220641">
        <w:t xml:space="preserve"> тыс. рублей (</w:t>
      </w:r>
      <w:r w:rsidR="00C645D5">
        <w:t>2,0</w:t>
      </w:r>
      <w:r w:rsidRPr="00220641">
        <w:t>%)</w:t>
      </w:r>
      <w:r w:rsidR="00E14F08">
        <w:t xml:space="preserve"> - это</w:t>
      </w:r>
      <w:r w:rsidR="00A77442">
        <w:t xml:space="preserve"> </w:t>
      </w:r>
      <w:r w:rsidR="00E14F08">
        <w:t>нарушения</w:t>
      </w:r>
      <w:r w:rsidR="00654746">
        <w:t>,</w:t>
      </w:r>
      <w:r w:rsidR="00E14F08">
        <w:t xml:space="preserve"> </w:t>
      </w:r>
      <w:r w:rsidR="00E14F08" w:rsidRPr="00E14F08">
        <w:t>не относящи</w:t>
      </w:r>
      <w:r w:rsidR="00E14F08">
        <w:t>е</w:t>
      </w:r>
      <w:r w:rsidR="00E14F08" w:rsidRPr="00E14F08">
        <w:t xml:space="preserve">ся к нарушениям законодательства Российской Федерации в финансово-бюджетной сфере и нарушениям законодательства о контрактной системе в сфере закупок товаров, работ, услуг для обеспечения </w:t>
      </w:r>
      <w:r w:rsidR="00E14F08" w:rsidRPr="00D21C95">
        <w:t>государственных и муниципальных нужд.</w:t>
      </w:r>
      <w:r w:rsidR="00A77442" w:rsidRPr="00D21C95">
        <w:t xml:space="preserve"> </w:t>
      </w:r>
      <w:r w:rsidR="00E14F08" w:rsidRPr="00D21C95">
        <w:t>О</w:t>
      </w:r>
      <w:r w:rsidR="00ED6920" w:rsidRPr="00D21C95">
        <w:t>бъектами контроля</w:t>
      </w:r>
      <w:r w:rsidR="00A77442" w:rsidRPr="00D21C95">
        <w:t xml:space="preserve"> </w:t>
      </w:r>
      <w:r w:rsidR="00E14F08" w:rsidRPr="00D21C95">
        <w:t xml:space="preserve">нарушены </w:t>
      </w:r>
      <w:r w:rsidR="00ED6920" w:rsidRPr="00D21C95">
        <w:t>требовани</w:t>
      </w:r>
      <w:r w:rsidR="00E14F08" w:rsidRPr="00D21C95">
        <w:t>я</w:t>
      </w:r>
      <w:r w:rsidR="00ED6920" w:rsidRPr="00D21C95">
        <w:t xml:space="preserve"> </w:t>
      </w:r>
      <w:r w:rsidR="00D21C95" w:rsidRPr="00D21C95">
        <w:t>Методики определения стоимости строительной продукции на территории Российской Федерации</w:t>
      </w:r>
      <w:r w:rsidR="00D21C95" w:rsidRPr="00D21C95">
        <w:rPr>
          <w:rStyle w:val="a6"/>
        </w:rPr>
        <w:footnoteReference w:id="4"/>
      </w:r>
      <w:r w:rsidR="00D21C95" w:rsidRPr="00D21C95">
        <w:t>, а также Методических указаний по определению величины накладных расходов в строительстве</w:t>
      </w:r>
      <w:r w:rsidR="00D21C95" w:rsidRPr="00D21C95">
        <w:rPr>
          <w:rStyle w:val="a6"/>
        </w:rPr>
        <w:footnoteReference w:id="5"/>
      </w:r>
      <w:r w:rsidR="00E14F08" w:rsidRPr="00D21C95">
        <w:t>.</w:t>
      </w:r>
      <w:r w:rsidR="00ED6920" w:rsidRPr="00ED6920">
        <w:t xml:space="preserve"> </w:t>
      </w:r>
    </w:p>
    <w:p w:rsidR="007D472E" w:rsidRDefault="00272B82" w:rsidP="00812E74">
      <w:pPr>
        <w:widowControl w:val="0"/>
        <w:tabs>
          <w:tab w:val="left" w:pos="-3366"/>
        </w:tabs>
        <w:spacing w:before="280" w:after="0" w:line="240" w:lineRule="auto"/>
        <w:ind w:firstLine="709"/>
        <w:jc w:val="both"/>
        <w:rPr>
          <w:rFonts w:ascii="Times New Roman" w:eastAsia="Times New Roman" w:hAnsi="Times New Roman" w:cs="Times New Roman"/>
          <w:sz w:val="28"/>
          <w:szCs w:val="28"/>
        </w:rPr>
      </w:pPr>
      <w:r w:rsidRPr="00272B82">
        <w:rPr>
          <w:rFonts w:ascii="Times New Roman" w:eastAsia="Times New Roman" w:hAnsi="Times New Roman" w:cs="Times New Roman"/>
          <w:sz w:val="28"/>
          <w:szCs w:val="28"/>
        </w:rPr>
        <w:t>Анализ вышеуказанных нарушений в количественном выражении показал</w:t>
      </w:r>
      <w:r>
        <w:rPr>
          <w:rFonts w:ascii="Times New Roman" w:eastAsia="Times New Roman" w:hAnsi="Times New Roman" w:cs="Times New Roman"/>
          <w:sz w:val="28"/>
          <w:szCs w:val="28"/>
        </w:rPr>
        <w:t xml:space="preserve"> </w:t>
      </w:r>
      <w:r w:rsidRPr="00272B82">
        <w:rPr>
          <w:rFonts w:ascii="Times New Roman" w:eastAsia="Times New Roman" w:hAnsi="Times New Roman" w:cs="Times New Roman"/>
          <w:sz w:val="28"/>
          <w:szCs w:val="28"/>
        </w:rPr>
        <w:t>следующее:</w:t>
      </w:r>
    </w:p>
    <w:p w:rsidR="008427C0" w:rsidRPr="004161AE" w:rsidRDefault="00C10405" w:rsidP="00263F47">
      <w:pPr>
        <w:widowControl w:val="0"/>
        <w:numPr>
          <w:ilvl w:val="0"/>
          <w:numId w:val="4"/>
        </w:numPr>
        <w:tabs>
          <w:tab w:val="left" w:pos="-3366"/>
        </w:tabs>
        <w:spacing w:before="240" w:after="0" w:line="240" w:lineRule="auto"/>
        <w:ind w:left="0" w:firstLine="360"/>
        <w:jc w:val="both"/>
        <w:rPr>
          <w:rFonts w:ascii="Times New Roman" w:eastAsia="Times New Roman" w:hAnsi="Times New Roman" w:cs="Times New Roman"/>
          <w:b/>
          <w:i/>
          <w:sz w:val="28"/>
          <w:szCs w:val="28"/>
        </w:rPr>
      </w:pPr>
      <w:r w:rsidRPr="00046BA5">
        <w:rPr>
          <w:rFonts w:ascii="Times New Roman" w:eastAsia="Times New Roman" w:hAnsi="Times New Roman" w:cs="Times New Roman"/>
          <w:b/>
          <w:i/>
          <w:sz w:val="28"/>
          <w:szCs w:val="28"/>
        </w:rPr>
        <w:t>6,</w:t>
      </w:r>
      <w:r w:rsidR="003E2D63">
        <w:rPr>
          <w:rFonts w:ascii="Times New Roman" w:eastAsia="Times New Roman" w:hAnsi="Times New Roman" w:cs="Times New Roman"/>
          <w:b/>
          <w:i/>
          <w:sz w:val="28"/>
          <w:szCs w:val="28"/>
        </w:rPr>
        <w:t>6</w:t>
      </w:r>
      <w:r w:rsidRPr="00046BA5">
        <w:rPr>
          <w:rFonts w:ascii="Times New Roman" w:eastAsia="Times New Roman" w:hAnsi="Times New Roman" w:cs="Times New Roman"/>
          <w:b/>
          <w:i/>
          <w:sz w:val="28"/>
          <w:szCs w:val="28"/>
        </w:rPr>
        <w:t xml:space="preserve"> % – нарушения при формиро</w:t>
      </w:r>
      <w:r w:rsidR="00D42A34">
        <w:rPr>
          <w:rFonts w:ascii="Times New Roman" w:eastAsia="Times New Roman" w:hAnsi="Times New Roman" w:cs="Times New Roman"/>
          <w:b/>
          <w:i/>
          <w:sz w:val="28"/>
          <w:szCs w:val="28"/>
        </w:rPr>
        <w:t>вании и исполнение бюджетов (</w:t>
      </w:r>
      <w:r w:rsidR="00266FB6">
        <w:rPr>
          <w:rFonts w:ascii="Times New Roman" w:eastAsia="Times New Roman" w:hAnsi="Times New Roman" w:cs="Times New Roman"/>
          <w:b/>
          <w:i/>
          <w:sz w:val="28"/>
          <w:szCs w:val="28"/>
        </w:rPr>
        <w:t>1</w:t>
      </w:r>
      <w:r w:rsidR="00D42A34">
        <w:rPr>
          <w:rFonts w:ascii="Times New Roman" w:eastAsia="Times New Roman" w:hAnsi="Times New Roman" w:cs="Times New Roman"/>
          <w:b/>
          <w:i/>
          <w:sz w:val="28"/>
          <w:szCs w:val="28"/>
        </w:rPr>
        <w:t>8 </w:t>
      </w:r>
      <w:r w:rsidRPr="00046BA5">
        <w:rPr>
          <w:rFonts w:ascii="Times New Roman" w:eastAsia="Times New Roman" w:hAnsi="Times New Roman" w:cs="Times New Roman"/>
          <w:b/>
          <w:i/>
          <w:sz w:val="28"/>
          <w:szCs w:val="28"/>
        </w:rPr>
        <w:t>нарушений)</w:t>
      </w:r>
      <w:r w:rsidR="008427C0" w:rsidRPr="00046BA5">
        <w:rPr>
          <w:rFonts w:ascii="Times New Roman" w:eastAsia="Times New Roman" w:hAnsi="Times New Roman" w:cs="Times New Roman"/>
          <w:b/>
          <w:i/>
          <w:sz w:val="28"/>
          <w:szCs w:val="28"/>
        </w:rPr>
        <w:t>,</w:t>
      </w:r>
      <w:r w:rsidR="008427C0" w:rsidRPr="00046BA5">
        <w:rPr>
          <w:b/>
          <w:i/>
        </w:rPr>
        <w:t xml:space="preserve"> </w:t>
      </w:r>
      <w:r w:rsidR="008427C0" w:rsidRPr="00046BA5">
        <w:rPr>
          <w:rFonts w:ascii="Times New Roman" w:eastAsia="Times New Roman" w:hAnsi="Times New Roman" w:cs="Times New Roman"/>
          <w:sz w:val="28"/>
          <w:szCs w:val="28"/>
        </w:rPr>
        <w:t>основными из которых являются:</w:t>
      </w:r>
    </w:p>
    <w:p w:rsidR="004161AE" w:rsidRPr="003E6136" w:rsidRDefault="003E2D63" w:rsidP="00812E74">
      <w:pPr>
        <w:pStyle w:val="20"/>
      </w:pPr>
      <w:r>
        <w:t>н</w:t>
      </w:r>
      <w:r w:rsidRPr="003E2D63">
        <w:t>арушение порядка применения бюджетной классификации Российской Федерации</w:t>
      </w:r>
      <w:r w:rsidR="004161AE" w:rsidRPr="003E6136">
        <w:t>;</w:t>
      </w:r>
    </w:p>
    <w:p w:rsidR="00906F36" w:rsidRPr="00906F36" w:rsidRDefault="00906F36" w:rsidP="00812E74">
      <w:pPr>
        <w:pStyle w:val="20"/>
      </w:pPr>
      <w:r>
        <w:t>н</w:t>
      </w:r>
      <w:r w:rsidRPr="00906F36">
        <w:t xml:space="preserve">есоблюдение порядка составления и ведения сводной бюджетной </w:t>
      </w:r>
      <w:r>
        <w:t>р</w:t>
      </w:r>
      <w:r w:rsidRPr="00906F36">
        <w:t>осписи</w:t>
      </w:r>
      <w:r>
        <w:t>;</w:t>
      </w:r>
    </w:p>
    <w:p w:rsidR="003835F0" w:rsidRDefault="00906F36" w:rsidP="00812E74">
      <w:pPr>
        <w:pStyle w:val="20"/>
      </w:pPr>
      <w:r>
        <w:t>н</w:t>
      </w:r>
      <w:r w:rsidRPr="00906F36">
        <w:t>есоблюдение порядка составления и ведения бюджетной росписи главными распорядителями (распорядителями) бюджетных средств</w:t>
      </w:r>
      <w:r w:rsidR="003835F0">
        <w:t>;</w:t>
      </w:r>
    </w:p>
    <w:p w:rsidR="00FE4CFB" w:rsidRPr="00906F36" w:rsidRDefault="00266FB6" w:rsidP="00812E74">
      <w:pPr>
        <w:pStyle w:val="20"/>
        <w:rPr>
          <w:strike/>
        </w:rPr>
      </w:pPr>
      <w:r w:rsidRPr="00266FB6">
        <w:t>неосуществление (ненадлежащее осуществление) бюджетных полномочий главного распорядителя (распорядителя) бюджетных средств</w:t>
      </w:r>
      <w:r w:rsidR="002B1D73">
        <w:t>.</w:t>
      </w:r>
    </w:p>
    <w:p w:rsidR="00C10405" w:rsidRDefault="003E2D63" w:rsidP="00263F47">
      <w:pPr>
        <w:widowControl w:val="0"/>
        <w:numPr>
          <w:ilvl w:val="0"/>
          <w:numId w:val="4"/>
        </w:numPr>
        <w:tabs>
          <w:tab w:val="left" w:pos="-3366"/>
        </w:tabs>
        <w:spacing w:before="240" w:after="0" w:line="240" w:lineRule="auto"/>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34,4</w:t>
      </w:r>
      <w:r w:rsidR="00C10405" w:rsidRPr="001477D2">
        <w:rPr>
          <w:rFonts w:ascii="Times New Roman" w:eastAsia="Times New Roman" w:hAnsi="Times New Roman" w:cs="Times New Roman"/>
          <w:b/>
          <w:i/>
          <w:sz w:val="28"/>
          <w:szCs w:val="28"/>
        </w:rPr>
        <w:t xml:space="preserve"> % –</w:t>
      </w:r>
      <w:r w:rsidR="00C10405" w:rsidRPr="000922A8">
        <w:rPr>
          <w:rFonts w:ascii="Times New Roman" w:eastAsia="Times New Roman" w:hAnsi="Times New Roman" w:cs="Times New Roman"/>
          <w:sz w:val="28"/>
          <w:szCs w:val="28"/>
        </w:rPr>
        <w:t xml:space="preserve"> </w:t>
      </w:r>
      <w:r w:rsidR="00C10405" w:rsidRPr="00046BA5">
        <w:rPr>
          <w:rFonts w:ascii="Times New Roman" w:eastAsia="Times New Roman" w:hAnsi="Times New Roman" w:cs="Times New Roman"/>
          <w:b/>
          <w:i/>
          <w:sz w:val="28"/>
          <w:szCs w:val="28"/>
        </w:rPr>
        <w:t>нарушения ведения бухгалтерского учета,</w:t>
      </w:r>
      <w:r w:rsidR="00A77442">
        <w:rPr>
          <w:rFonts w:ascii="Times New Roman" w:eastAsia="Times New Roman" w:hAnsi="Times New Roman" w:cs="Times New Roman"/>
          <w:b/>
          <w:i/>
          <w:sz w:val="28"/>
          <w:szCs w:val="28"/>
        </w:rPr>
        <w:t xml:space="preserve"> </w:t>
      </w:r>
      <w:r w:rsidR="00C10405" w:rsidRPr="00046BA5">
        <w:rPr>
          <w:rFonts w:ascii="Times New Roman" w:eastAsia="Times New Roman" w:hAnsi="Times New Roman" w:cs="Times New Roman"/>
          <w:b/>
          <w:i/>
          <w:sz w:val="28"/>
          <w:szCs w:val="28"/>
        </w:rPr>
        <w:t>составления и предоставления бухгалтерск</w:t>
      </w:r>
      <w:r w:rsidR="00D42A34">
        <w:rPr>
          <w:rFonts w:ascii="Times New Roman" w:eastAsia="Times New Roman" w:hAnsi="Times New Roman" w:cs="Times New Roman"/>
          <w:b/>
          <w:i/>
          <w:sz w:val="28"/>
          <w:szCs w:val="28"/>
        </w:rPr>
        <w:t>ой (финансовой) отчетности (</w:t>
      </w:r>
      <w:r w:rsidR="00266FB6">
        <w:rPr>
          <w:rFonts w:ascii="Times New Roman" w:eastAsia="Times New Roman" w:hAnsi="Times New Roman" w:cs="Times New Roman"/>
          <w:b/>
          <w:i/>
          <w:sz w:val="28"/>
          <w:szCs w:val="28"/>
        </w:rPr>
        <w:t>83</w:t>
      </w:r>
      <w:r w:rsidR="00D42A34">
        <w:rPr>
          <w:rFonts w:ascii="Times New Roman" w:eastAsia="Times New Roman" w:hAnsi="Times New Roman" w:cs="Times New Roman"/>
          <w:b/>
          <w:i/>
          <w:sz w:val="28"/>
          <w:szCs w:val="28"/>
        </w:rPr>
        <w:t> </w:t>
      </w:r>
      <w:r w:rsidR="00C10405" w:rsidRPr="00046BA5">
        <w:rPr>
          <w:rFonts w:ascii="Times New Roman" w:eastAsia="Times New Roman" w:hAnsi="Times New Roman" w:cs="Times New Roman"/>
          <w:b/>
          <w:i/>
          <w:sz w:val="28"/>
          <w:szCs w:val="28"/>
        </w:rPr>
        <w:t>нарушени</w:t>
      </w:r>
      <w:r w:rsidR="00266FB6">
        <w:rPr>
          <w:rFonts w:ascii="Times New Roman" w:eastAsia="Times New Roman" w:hAnsi="Times New Roman" w:cs="Times New Roman"/>
          <w:b/>
          <w:i/>
          <w:sz w:val="28"/>
          <w:szCs w:val="28"/>
        </w:rPr>
        <w:t>я</w:t>
      </w:r>
      <w:r w:rsidR="00C10405" w:rsidRPr="00046BA5">
        <w:rPr>
          <w:rFonts w:ascii="Times New Roman" w:eastAsia="Times New Roman" w:hAnsi="Times New Roman" w:cs="Times New Roman"/>
          <w:b/>
          <w:i/>
          <w:sz w:val="28"/>
          <w:szCs w:val="28"/>
        </w:rPr>
        <w:t>)</w:t>
      </w:r>
      <w:r w:rsidR="00046BA5">
        <w:rPr>
          <w:rFonts w:ascii="Times New Roman" w:eastAsia="Times New Roman" w:hAnsi="Times New Roman" w:cs="Times New Roman"/>
          <w:sz w:val="28"/>
          <w:szCs w:val="28"/>
        </w:rPr>
        <w:t xml:space="preserve">, </w:t>
      </w:r>
      <w:r w:rsidR="00046BA5" w:rsidRPr="00046BA5">
        <w:rPr>
          <w:rFonts w:ascii="Times New Roman" w:eastAsia="Times New Roman" w:hAnsi="Times New Roman" w:cs="Times New Roman"/>
          <w:sz w:val="28"/>
          <w:szCs w:val="28"/>
        </w:rPr>
        <w:t>основными из которых являются:</w:t>
      </w:r>
    </w:p>
    <w:p w:rsidR="001B1EF3" w:rsidRPr="00266FB6" w:rsidRDefault="001B1EF3" w:rsidP="00263F47">
      <w:pPr>
        <w:pStyle w:val="20"/>
      </w:pPr>
      <w:r w:rsidRPr="00266FB6">
        <w:t xml:space="preserve">нарушения требований, предъявляемых к применению правил ведения </w:t>
      </w:r>
      <w:r w:rsidR="00157628" w:rsidRPr="00266FB6">
        <w:t>бюджетного (</w:t>
      </w:r>
      <w:r w:rsidRPr="00266FB6">
        <w:t>бухгалтерского</w:t>
      </w:r>
      <w:r w:rsidR="00157628" w:rsidRPr="00266FB6">
        <w:t>)</w:t>
      </w:r>
      <w:r w:rsidRPr="00266FB6">
        <w:t xml:space="preserve"> учета;</w:t>
      </w:r>
    </w:p>
    <w:p w:rsidR="004161AE" w:rsidRPr="00266FB6" w:rsidRDefault="001F1FBC" w:rsidP="00263F47">
      <w:pPr>
        <w:pStyle w:val="20"/>
      </w:pPr>
      <w:r w:rsidRPr="00266FB6">
        <w:t>нарушения оформления и применения первичных учетных документов</w:t>
      </w:r>
      <w:r w:rsidR="004161AE" w:rsidRPr="00266FB6">
        <w:t>;</w:t>
      </w:r>
    </w:p>
    <w:p w:rsidR="008427C0" w:rsidRDefault="001477D2" w:rsidP="00263F47">
      <w:pPr>
        <w:pStyle w:val="20"/>
      </w:pPr>
      <w:r>
        <w:t>н</w:t>
      </w:r>
      <w:r w:rsidRPr="001477D2">
        <w:t xml:space="preserve">арушения </w:t>
      </w:r>
      <w:r w:rsidR="001B1EF3" w:rsidRPr="001B1EF3">
        <w:t xml:space="preserve">общих требований к бухгалтерской (финансовой) отчетности экономического субъекта, в том числе к ее составу </w:t>
      </w:r>
      <w:r w:rsidR="004161AE" w:rsidRPr="004161AE">
        <w:t>и др.</w:t>
      </w:r>
    </w:p>
    <w:p w:rsidR="00046BA5" w:rsidRDefault="003E2D63" w:rsidP="00263F47">
      <w:pPr>
        <w:numPr>
          <w:ilvl w:val="0"/>
          <w:numId w:val="4"/>
        </w:numPr>
        <w:spacing w:before="240" w:after="0"/>
        <w:ind w:left="0" w:firstLine="36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62,6</w:t>
      </w:r>
      <w:r w:rsidR="00DB2F18" w:rsidRPr="00046BA5">
        <w:rPr>
          <w:rFonts w:ascii="Times New Roman" w:eastAsia="Times New Roman" w:hAnsi="Times New Roman" w:cs="Times New Roman"/>
          <w:b/>
          <w:i/>
          <w:sz w:val="28"/>
          <w:szCs w:val="28"/>
        </w:rPr>
        <w:t xml:space="preserve"> % – </w:t>
      </w:r>
      <w:r w:rsidR="000922A8" w:rsidRPr="00046BA5">
        <w:rPr>
          <w:rFonts w:ascii="Times New Roman" w:eastAsia="Times New Roman" w:hAnsi="Times New Roman" w:cs="Times New Roman"/>
          <w:b/>
          <w:i/>
          <w:sz w:val="28"/>
          <w:szCs w:val="28"/>
        </w:rPr>
        <w:t xml:space="preserve">нарушения </w:t>
      </w:r>
      <w:r w:rsidR="00C10405" w:rsidRPr="00046BA5">
        <w:rPr>
          <w:rFonts w:ascii="Times New Roman" w:eastAsia="Times New Roman" w:hAnsi="Times New Roman" w:cs="Times New Roman"/>
          <w:b/>
          <w:i/>
          <w:sz w:val="28"/>
          <w:szCs w:val="28"/>
        </w:rPr>
        <w:t>при осуществлении муниципальных закупок и закупок отдельными видами юридических лиц</w:t>
      </w:r>
      <w:r w:rsidR="000922A8" w:rsidRPr="00046BA5">
        <w:rPr>
          <w:rFonts w:ascii="Times New Roman" w:eastAsia="Times New Roman" w:hAnsi="Times New Roman" w:cs="Times New Roman"/>
          <w:b/>
          <w:i/>
          <w:sz w:val="28"/>
          <w:szCs w:val="28"/>
        </w:rPr>
        <w:t xml:space="preserve"> (</w:t>
      </w:r>
      <w:r w:rsidR="00266FB6">
        <w:rPr>
          <w:rFonts w:ascii="Times New Roman" w:eastAsia="Times New Roman" w:hAnsi="Times New Roman" w:cs="Times New Roman"/>
          <w:b/>
          <w:i/>
          <w:sz w:val="28"/>
          <w:szCs w:val="28"/>
        </w:rPr>
        <w:t>171</w:t>
      </w:r>
      <w:r w:rsidR="000922A8" w:rsidRPr="00046BA5">
        <w:rPr>
          <w:rFonts w:ascii="Times New Roman" w:eastAsia="Times New Roman" w:hAnsi="Times New Roman" w:cs="Times New Roman"/>
          <w:b/>
          <w:i/>
          <w:sz w:val="28"/>
          <w:szCs w:val="28"/>
        </w:rPr>
        <w:t xml:space="preserve"> нарушени</w:t>
      </w:r>
      <w:r w:rsidR="00266FB6">
        <w:rPr>
          <w:rFonts w:ascii="Times New Roman" w:eastAsia="Times New Roman" w:hAnsi="Times New Roman" w:cs="Times New Roman"/>
          <w:b/>
          <w:i/>
          <w:sz w:val="28"/>
          <w:szCs w:val="28"/>
        </w:rPr>
        <w:t>е</w:t>
      </w:r>
      <w:r w:rsidR="000922A8" w:rsidRPr="00046BA5">
        <w:rPr>
          <w:rFonts w:ascii="Times New Roman" w:eastAsia="Times New Roman" w:hAnsi="Times New Roman" w:cs="Times New Roman"/>
          <w:b/>
          <w:i/>
          <w:sz w:val="28"/>
          <w:szCs w:val="28"/>
        </w:rPr>
        <w:t>)</w:t>
      </w:r>
      <w:r w:rsidR="00046BA5">
        <w:rPr>
          <w:rFonts w:ascii="Times New Roman" w:eastAsia="Times New Roman" w:hAnsi="Times New Roman" w:cs="Times New Roman"/>
          <w:sz w:val="28"/>
          <w:szCs w:val="28"/>
        </w:rPr>
        <w:t>,</w:t>
      </w:r>
      <w:r w:rsidR="00046BA5" w:rsidRPr="00046BA5">
        <w:t xml:space="preserve"> </w:t>
      </w:r>
      <w:r w:rsidR="00046BA5" w:rsidRPr="00046BA5">
        <w:rPr>
          <w:rFonts w:ascii="Times New Roman" w:eastAsia="Times New Roman" w:hAnsi="Times New Roman" w:cs="Times New Roman"/>
          <w:sz w:val="28"/>
          <w:szCs w:val="28"/>
        </w:rPr>
        <w:t>основными из которых являются:</w:t>
      </w:r>
    </w:p>
    <w:p w:rsidR="00180D70" w:rsidRDefault="00180D70" w:rsidP="00180D70">
      <w:pPr>
        <w:pStyle w:val="20"/>
      </w:pPr>
      <w:r>
        <w:t>н</w:t>
      </w:r>
      <w:r w:rsidRPr="00180D70">
        <w:t>арушения порядка формирования, утверждения и ведения плана-графика закупок товаров, работ, услуг</w:t>
      </w:r>
      <w:r>
        <w:t>;</w:t>
      </w:r>
    </w:p>
    <w:p w:rsidR="00247C72" w:rsidRPr="007A390B" w:rsidRDefault="00577137" w:rsidP="00263F47">
      <w:pPr>
        <w:pStyle w:val="20"/>
      </w:pPr>
      <w:r w:rsidRPr="007A390B">
        <w:t>непредставление, несвоевременное представление информации (сведений) и</w:t>
      </w:r>
      <w:r w:rsidR="00263F47">
        <w:t xml:space="preserve"> </w:t>
      </w:r>
      <w:r w:rsidRPr="007A390B">
        <w:t xml:space="preserve">(или) документов, подлежащих включению в реестр контрактов, </w:t>
      </w:r>
      <w:r w:rsidR="00247C72" w:rsidRPr="007A390B">
        <w:t>заключенных заказчиками;</w:t>
      </w:r>
    </w:p>
    <w:p w:rsidR="00247C72" w:rsidRPr="007A390B" w:rsidRDefault="00180D70" w:rsidP="00263F47">
      <w:pPr>
        <w:pStyle w:val="20"/>
      </w:pPr>
      <w:proofErr w:type="spellStart"/>
      <w:r>
        <w:t>не</w:t>
      </w:r>
      <w:r w:rsidR="00247C72" w:rsidRPr="007A390B">
        <w:t>включение</w:t>
      </w:r>
      <w:proofErr w:type="spellEnd"/>
      <w:r w:rsidR="00247C72" w:rsidRPr="007A390B">
        <w:t xml:space="preserve"> в контракт (договор) обязательных условий;</w:t>
      </w:r>
    </w:p>
    <w:p w:rsidR="00247C72" w:rsidRPr="007A390B" w:rsidRDefault="006B7B43" w:rsidP="00263F47">
      <w:pPr>
        <w:pStyle w:val="20"/>
      </w:pPr>
      <w:r w:rsidRPr="007A390B">
        <w:t xml:space="preserve">заключение </w:t>
      </w:r>
      <w:r w:rsidR="00247C72" w:rsidRPr="007A390B">
        <w:t>контрактов до размещения в ЕИС плана-графика закупок;</w:t>
      </w:r>
    </w:p>
    <w:p w:rsidR="00180D70" w:rsidRDefault="00577137" w:rsidP="00263F47">
      <w:pPr>
        <w:pStyle w:val="20"/>
      </w:pPr>
      <w:r w:rsidRPr="007A390B">
        <w:t xml:space="preserve">внесение изменений в контракт (договор) с нарушением требований, </w:t>
      </w:r>
      <w:r w:rsidR="006B7B43" w:rsidRPr="007A390B">
        <w:t>установленных законодательством</w:t>
      </w:r>
      <w:r w:rsidR="00180D70">
        <w:t>;</w:t>
      </w:r>
    </w:p>
    <w:p w:rsidR="00577137" w:rsidRPr="007A390B" w:rsidRDefault="00180D70" w:rsidP="00180D70">
      <w:pPr>
        <w:pStyle w:val="20"/>
      </w:pPr>
      <w:r>
        <w:t>н</w:t>
      </w:r>
      <w:r w:rsidRPr="00180D70">
        <w:t>арушения при нормировании в сфере закупок</w:t>
      </w:r>
      <w:r w:rsidR="006B7B43" w:rsidRPr="007A390B">
        <w:t>.</w:t>
      </w:r>
    </w:p>
    <w:p w:rsidR="003835F0" w:rsidRDefault="003E2D63" w:rsidP="00263F47">
      <w:pPr>
        <w:numPr>
          <w:ilvl w:val="0"/>
          <w:numId w:val="4"/>
        </w:numPr>
        <w:spacing w:before="240" w:after="0"/>
        <w:ind w:left="0" w:firstLine="360"/>
        <w:jc w:val="both"/>
        <w:rPr>
          <w:rFonts w:ascii="Times New Roman" w:eastAsia="Times New Roman" w:hAnsi="Times New Roman" w:cs="Times New Roman"/>
          <w:sz w:val="28"/>
          <w:szCs w:val="28"/>
        </w:rPr>
      </w:pPr>
      <w:r w:rsidRPr="00266FB6">
        <w:rPr>
          <w:rFonts w:ascii="Times New Roman" w:eastAsia="Times New Roman" w:hAnsi="Times New Roman" w:cs="Times New Roman"/>
          <w:b/>
          <w:i/>
          <w:sz w:val="28"/>
          <w:szCs w:val="28"/>
        </w:rPr>
        <w:t>0,4</w:t>
      </w:r>
      <w:r w:rsidR="00DB2F18" w:rsidRPr="00266FB6">
        <w:rPr>
          <w:rFonts w:ascii="Times New Roman" w:eastAsia="Times New Roman" w:hAnsi="Times New Roman" w:cs="Times New Roman"/>
          <w:b/>
          <w:i/>
          <w:sz w:val="28"/>
          <w:szCs w:val="28"/>
        </w:rPr>
        <w:t xml:space="preserve"> % – </w:t>
      </w:r>
      <w:r w:rsidR="00C10405" w:rsidRPr="00266FB6">
        <w:rPr>
          <w:rFonts w:ascii="Times New Roman" w:eastAsia="Times New Roman" w:hAnsi="Times New Roman" w:cs="Times New Roman"/>
          <w:b/>
          <w:i/>
          <w:sz w:val="28"/>
          <w:szCs w:val="28"/>
        </w:rPr>
        <w:t xml:space="preserve">иные </w:t>
      </w:r>
      <w:r w:rsidR="00DB2F18" w:rsidRPr="00266FB6">
        <w:rPr>
          <w:rFonts w:ascii="Times New Roman" w:eastAsia="Times New Roman" w:hAnsi="Times New Roman" w:cs="Times New Roman"/>
          <w:b/>
          <w:i/>
          <w:sz w:val="28"/>
          <w:szCs w:val="28"/>
        </w:rPr>
        <w:t>нарушения (</w:t>
      </w:r>
      <w:r w:rsidR="00266FB6" w:rsidRPr="00266FB6">
        <w:rPr>
          <w:rFonts w:ascii="Times New Roman" w:eastAsia="Times New Roman" w:hAnsi="Times New Roman" w:cs="Times New Roman"/>
          <w:b/>
          <w:i/>
          <w:sz w:val="28"/>
          <w:szCs w:val="28"/>
        </w:rPr>
        <w:t>1</w:t>
      </w:r>
      <w:r w:rsidR="00C10405" w:rsidRPr="00266FB6">
        <w:rPr>
          <w:rFonts w:ascii="Times New Roman" w:eastAsia="Times New Roman" w:hAnsi="Times New Roman" w:cs="Times New Roman"/>
          <w:b/>
          <w:i/>
          <w:sz w:val="28"/>
          <w:szCs w:val="28"/>
        </w:rPr>
        <w:t xml:space="preserve"> нарушени</w:t>
      </w:r>
      <w:r w:rsidR="00266FB6" w:rsidRPr="00266FB6">
        <w:rPr>
          <w:rFonts w:ascii="Times New Roman" w:eastAsia="Times New Roman" w:hAnsi="Times New Roman" w:cs="Times New Roman"/>
          <w:b/>
          <w:i/>
          <w:sz w:val="28"/>
          <w:szCs w:val="28"/>
        </w:rPr>
        <w:t>е</w:t>
      </w:r>
      <w:r w:rsidR="00DB2F18" w:rsidRPr="00266FB6">
        <w:rPr>
          <w:rFonts w:ascii="Times New Roman" w:eastAsia="Times New Roman" w:hAnsi="Times New Roman" w:cs="Times New Roman"/>
          <w:b/>
          <w:i/>
          <w:sz w:val="28"/>
          <w:szCs w:val="28"/>
        </w:rPr>
        <w:t>)</w:t>
      </w:r>
      <w:r w:rsidR="00BB5A4E" w:rsidRPr="00266FB6">
        <w:rPr>
          <w:rFonts w:ascii="Times New Roman" w:hAnsi="Times New Roman" w:cs="Times New Roman"/>
          <w:i/>
        </w:rPr>
        <w:t>,</w:t>
      </w:r>
      <w:r w:rsidR="003835F0" w:rsidRPr="003835F0">
        <w:t xml:space="preserve"> </w:t>
      </w:r>
      <w:r w:rsidR="003835F0" w:rsidRPr="003835F0">
        <w:rPr>
          <w:rFonts w:ascii="Times New Roman" w:eastAsia="Times New Roman" w:hAnsi="Times New Roman" w:cs="Times New Roman"/>
          <w:sz w:val="28"/>
          <w:szCs w:val="28"/>
        </w:rPr>
        <w:t xml:space="preserve">основными из которых </w:t>
      </w:r>
      <w:r w:rsidR="001B1EF3">
        <w:rPr>
          <w:rFonts w:ascii="Times New Roman" w:eastAsia="Times New Roman" w:hAnsi="Times New Roman" w:cs="Times New Roman"/>
          <w:sz w:val="28"/>
          <w:szCs w:val="28"/>
        </w:rPr>
        <w:t>я</w:t>
      </w:r>
      <w:r w:rsidR="003835F0" w:rsidRPr="003835F0">
        <w:rPr>
          <w:rFonts w:ascii="Times New Roman" w:eastAsia="Times New Roman" w:hAnsi="Times New Roman" w:cs="Times New Roman"/>
          <w:sz w:val="28"/>
          <w:szCs w:val="28"/>
        </w:rPr>
        <w:t>вляются:</w:t>
      </w:r>
    </w:p>
    <w:p w:rsidR="001B1EF3" w:rsidRPr="004C4485" w:rsidRDefault="001B1EF3" w:rsidP="00180D70">
      <w:pPr>
        <w:pStyle w:val="20"/>
      </w:pPr>
      <w:r w:rsidRPr="004C4485">
        <w:t xml:space="preserve">нарушения </w:t>
      </w:r>
      <w:r w:rsidR="00180D70">
        <w:t xml:space="preserve">правил </w:t>
      </w:r>
      <w:r w:rsidR="00180D70" w:rsidRPr="00180D70">
        <w:t xml:space="preserve">применения норм, расценок и коэффициентов при определении сметной стоимости </w:t>
      </w:r>
      <w:r w:rsidR="00180D70">
        <w:t>работ.</w:t>
      </w:r>
    </w:p>
    <w:p w:rsidR="008B0D82" w:rsidRPr="00A74F20" w:rsidRDefault="00A84ABC" w:rsidP="00263F47">
      <w:pPr>
        <w:pStyle w:val="a5"/>
        <w:spacing w:before="280"/>
      </w:pPr>
      <w:r>
        <w:t>П</w:t>
      </w:r>
      <w:r w:rsidRPr="00A84ABC">
        <w:t>о итогам проведенных в 202</w:t>
      </w:r>
      <w:r>
        <w:t>2</w:t>
      </w:r>
      <w:r w:rsidRPr="00A84ABC">
        <w:t xml:space="preserve"> году мероприятий в адрес объектов контроля и органов местного самоуправления Грачевского муниципального округа Ставропольского края Контрольно-счетной комиссией подготовлено</w:t>
      </w:r>
      <w:r>
        <w:t xml:space="preserve"> </w:t>
      </w:r>
      <w:r w:rsidR="00820B4B">
        <w:t xml:space="preserve">и направлено </w:t>
      </w:r>
      <w:r w:rsidR="009E66F9">
        <w:t>60</w:t>
      </w:r>
      <w:r w:rsidRPr="00A84ABC">
        <w:t xml:space="preserve"> предложений и рекомендаций</w:t>
      </w:r>
      <w:r w:rsidR="00820B4B">
        <w:t xml:space="preserve">. </w:t>
      </w:r>
      <w:r w:rsidR="008B0D82" w:rsidRPr="00A74F20">
        <w:t>В их числе предложения по повышению эффективности управления муниципальными ресурсами Грачевского муниципального округа Ставропольского края и их использования, совершенствованию бюджетного процесса и организации взаимодействия профильных структурных подразделений администрации Грачевского муниципального округа Ставропольского края.</w:t>
      </w:r>
    </w:p>
    <w:p w:rsidR="00144C8D" w:rsidRDefault="00144C8D" w:rsidP="00263F47">
      <w:pPr>
        <w:pStyle w:val="a5"/>
        <w:rPr>
          <w:color w:val="000000"/>
        </w:rPr>
      </w:pPr>
      <w:r w:rsidRPr="00144C8D">
        <w:t>В адрес руководителей объектов контроля в отчетном периоде должностными лицами Контрольно-счетной комисси</w:t>
      </w:r>
      <w:r>
        <w:t>и</w:t>
      </w:r>
      <w:r w:rsidRPr="00144C8D">
        <w:t xml:space="preserve"> вынесено </w:t>
      </w:r>
      <w:r>
        <w:t>3</w:t>
      </w:r>
      <w:r w:rsidR="00180D70">
        <w:t> </w:t>
      </w:r>
      <w:r w:rsidRPr="00144C8D">
        <w:t>представлени</w:t>
      </w:r>
      <w:r>
        <w:t>я</w:t>
      </w:r>
      <w:r w:rsidRPr="00144C8D">
        <w:t>. В них содержится</w:t>
      </w:r>
      <w:r>
        <w:t xml:space="preserve"> </w:t>
      </w:r>
      <w:r w:rsidRPr="00144C8D">
        <w:t xml:space="preserve">информация о выявленных недостатках и нарушениях, а также требования о принятии мер по их устранению, </w:t>
      </w:r>
      <w:r w:rsidRPr="00803890">
        <w:t>возмещению причиненного ущерба</w:t>
      </w:r>
      <w:r w:rsidRPr="00144C8D">
        <w:t xml:space="preserve"> и привлечению к ответственности виновных лиц. </w:t>
      </w:r>
    </w:p>
    <w:p w:rsidR="00AA7758" w:rsidRDefault="00AA7758" w:rsidP="00263F47">
      <w:pPr>
        <w:pStyle w:val="a5"/>
        <w:rPr>
          <w:color w:val="000000"/>
        </w:rPr>
      </w:pPr>
      <w:r w:rsidRPr="00AA7758">
        <w:rPr>
          <w:color w:val="000000"/>
        </w:rPr>
        <w:t xml:space="preserve">В целях своевременного информирования органов местного самоуправления, сведения о результатах проведенных контрольных и </w:t>
      </w:r>
      <w:r w:rsidRPr="00AA7758">
        <w:rPr>
          <w:color w:val="000000"/>
        </w:rPr>
        <w:lastRenderedPageBreak/>
        <w:t>экспертно-аналитических мероприятий в форме информационных писем</w:t>
      </w:r>
      <w:r w:rsidRPr="00AA7758">
        <w:t xml:space="preserve"> </w:t>
      </w:r>
      <w:r w:rsidRPr="00AA7758">
        <w:rPr>
          <w:color w:val="000000"/>
        </w:rPr>
        <w:t>(заключени</w:t>
      </w:r>
      <w:r>
        <w:rPr>
          <w:color w:val="000000"/>
        </w:rPr>
        <w:t>й</w:t>
      </w:r>
      <w:r w:rsidRPr="00AA7758">
        <w:rPr>
          <w:color w:val="000000"/>
        </w:rPr>
        <w:t xml:space="preserve">) представлялись в </w:t>
      </w:r>
      <w:r>
        <w:rPr>
          <w:color w:val="000000"/>
        </w:rPr>
        <w:t>Совет</w:t>
      </w:r>
      <w:r w:rsidRPr="00AA7758">
        <w:rPr>
          <w:color w:val="000000"/>
        </w:rPr>
        <w:t xml:space="preserve"> Грачевского муниципального округа Ставропольского края и </w:t>
      </w:r>
      <w:r>
        <w:rPr>
          <w:color w:val="000000"/>
        </w:rPr>
        <w:t>г</w:t>
      </w:r>
      <w:r w:rsidRPr="00AA7758">
        <w:rPr>
          <w:color w:val="000000"/>
        </w:rPr>
        <w:t>лаве Грачевского муниципального округа Ставропольского края</w:t>
      </w:r>
      <w:r>
        <w:rPr>
          <w:color w:val="000000"/>
        </w:rPr>
        <w:t>.</w:t>
      </w:r>
      <w:r w:rsidRPr="00AA7758">
        <w:rPr>
          <w:color w:val="000000"/>
        </w:rPr>
        <w:t xml:space="preserve"> </w:t>
      </w:r>
      <w:r>
        <w:rPr>
          <w:color w:val="000000"/>
        </w:rPr>
        <w:t>В</w:t>
      </w:r>
      <w:r w:rsidRPr="00AA7758">
        <w:rPr>
          <w:color w:val="000000"/>
        </w:rPr>
        <w:t xml:space="preserve"> прокуратуру Грачевского района Ставропольского края направлено </w:t>
      </w:r>
      <w:r>
        <w:rPr>
          <w:color w:val="000000"/>
        </w:rPr>
        <w:t>3</w:t>
      </w:r>
      <w:r w:rsidRPr="00AA7758">
        <w:rPr>
          <w:color w:val="000000"/>
        </w:rPr>
        <w:t xml:space="preserve"> отчет</w:t>
      </w:r>
      <w:r>
        <w:rPr>
          <w:color w:val="000000"/>
        </w:rPr>
        <w:t>а</w:t>
      </w:r>
      <w:r w:rsidRPr="00AA7758">
        <w:rPr>
          <w:color w:val="000000"/>
        </w:rPr>
        <w:t xml:space="preserve"> по результат</w:t>
      </w:r>
      <w:r w:rsidR="00DD426B">
        <w:rPr>
          <w:color w:val="000000"/>
        </w:rPr>
        <w:t>ам</w:t>
      </w:r>
      <w:r w:rsidRPr="00AA7758">
        <w:rPr>
          <w:color w:val="000000"/>
        </w:rPr>
        <w:t xml:space="preserve"> проведенных</w:t>
      </w:r>
      <w:r>
        <w:rPr>
          <w:color w:val="000000"/>
        </w:rPr>
        <w:t xml:space="preserve"> </w:t>
      </w:r>
      <w:r w:rsidRPr="00AA7758">
        <w:rPr>
          <w:color w:val="000000"/>
        </w:rPr>
        <w:t>контрольных мероприятий.</w:t>
      </w:r>
    </w:p>
    <w:p w:rsidR="00FE3338" w:rsidRDefault="00FE3338" w:rsidP="00263F47">
      <w:pPr>
        <w:widowControl w:val="0"/>
        <w:tabs>
          <w:tab w:val="left" w:pos="-3366"/>
        </w:tabs>
        <w:spacing w:before="280" w:after="280" w:line="240" w:lineRule="auto"/>
        <w:ind w:firstLine="709"/>
        <w:jc w:val="center"/>
        <w:rPr>
          <w:rFonts w:ascii="Times New Roman" w:eastAsia="Times New Roman" w:hAnsi="Times New Roman" w:cs="Times New Roman"/>
          <w:i/>
          <w:sz w:val="28"/>
          <w:szCs w:val="28"/>
        </w:rPr>
      </w:pPr>
      <w:r w:rsidRPr="00FE3338">
        <w:rPr>
          <w:rFonts w:ascii="Times New Roman" w:eastAsia="Times New Roman" w:hAnsi="Times New Roman" w:cs="Times New Roman"/>
          <w:i/>
          <w:sz w:val="28"/>
          <w:szCs w:val="28"/>
        </w:rPr>
        <w:t>Реализация результатов мероприятий</w:t>
      </w:r>
    </w:p>
    <w:p w:rsidR="0097486F" w:rsidRPr="0097486F" w:rsidRDefault="0097486F" w:rsidP="00263F47">
      <w:pPr>
        <w:pStyle w:val="a5"/>
        <w:rPr>
          <w:rFonts w:eastAsia="Times New Roman"/>
        </w:rPr>
      </w:pPr>
      <w:r w:rsidRPr="0097486F">
        <w:t>Реализация рекомендаций Контрольно-счетной комиссии, а также ход устранения выявленных нарушений и замечаний находится на контроле Контрольно-счетной комиссии.</w:t>
      </w:r>
    </w:p>
    <w:p w:rsidR="00AE2DA1" w:rsidRDefault="009445FB" w:rsidP="00263F47">
      <w:pPr>
        <w:pStyle w:val="a5"/>
        <w:rPr>
          <w:rFonts w:eastAsia="Times New Roman"/>
        </w:rPr>
      </w:pPr>
      <w:r w:rsidRPr="009445FB">
        <w:rPr>
          <w:rFonts w:eastAsia="Times New Roman"/>
        </w:rPr>
        <w:t>В 202</w:t>
      </w:r>
      <w:r w:rsidR="00DD426B">
        <w:rPr>
          <w:rFonts w:eastAsia="Times New Roman"/>
        </w:rPr>
        <w:t>2</w:t>
      </w:r>
      <w:r w:rsidRPr="009445FB">
        <w:rPr>
          <w:rFonts w:eastAsia="Times New Roman"/>
        </w:rPr>
        <w:t xml:space="preserve"> году объектами контроля </w:t>
      </w:r>
      <w:r w:rsidR="00AE2DA1">
        <w:rPr>
          <w:rFonts w:eastAsia="Times New Roman"/>
        </w:rPr>
        <w:t xml:space="preserve">в установленные сроки </w:t>
      </w:r>
      <w:r w:rsidR="00AE2DA1" w:rsidRPr="00AE2DA1">
        <w:rPr>
          <w:rFonts w:eastAsia="Times New Roman"/>
        </w:rPr>
        <w:t>предоставлен</w:t>
      </w:r>
      <w:r w:rsidR="00AE2DA1">
        <w:rPr>
          <w:rFonts w:eastAsia="Times New Roman"/>
        </w:rPr>
        <w:t>а</w:t>
      </w:r>
      <w:r w:rsidR="00AE2DA1" w:rsidRPr="00AE2DA1">
        <w:rPr>
          <w:rFonts w:eastAsia="Times New Roman"/>
        </w:rPr>
        <w:t xml:space="preserve"> информаци</w:t>
      </w:r>
      <w:r w:rsidR="00AE2DA1">
        <w:rPr>
          <w:rFonts w:eastAsia="Times New Roman"/>
        </w:rPr>
        <w:t>я</w:t>
      </w:r>
      <w:r w:rsidR="00AE2DA1" w:rsidRPr="00AE2DA1">
        <w:rPr>
          <w:rFonts w:eastAsia="Times New Roman"/>
        </w:rPr>
        <w:t xml:space="preserve"> о принятых мерах с приложением материалов, подтверждающих устранение выявленных нарушений и недостатков</w:t>
      </w:r>
      <w:r w:rsidR="008B0D82">
        <w:rPr>
          <w:rFonts w:eastAsia="Times New Roman"/>
        </w:rPr>
        <w:t>, исполнение</w:t>
      </w:r>
      <w:r w:rsidR="008B0D82" w:rsidRPr="008B0D82">
        <w:t xml:space="preserve"> </w:t>
      </w:r>
      <w:r w:rsidR="008B0D82" w:rsidRPr="008B0D82">
        <w:rPr>
          <w:rFonts w:eastAsia="Times New Roman"/>
        </w:rPr>
        <w:t>предложений и рекомендаций</w:t>
      </w:r>
      <w:r w:rsidRPr="009445FB">
        <w:t xml:space="preserve"> </w:t>
      </w:r>
      <w:r w:rsidRPr="009445FB">
        <w:rPr>
          <w:rFonts w:eastAsia="Times New Roman"/>
        </w:rPr>
        <w:t>по результатам проведен</w:t>
      </w:r>
      <w:r w:rsidR="008B0D82">
        <w:rPr>
          <w:rFonts w:eastAsia="Times New Roman"/>
        </w:rPr>
        <w:t>ных</w:t>
      </w:r>
      <w:r w:rsidRPr="009445FB">
        <w:rPr>
          <w:rFonts w:eastAsia="Times New Roman"/>
        </w:rPr>
        <w:t xml:space="preserve"> </w:t>
      </w:r>
      <w:r w:rsidRPr="00DD426B">
        <w:rPr>
          <w:rFonts w:eastAsia="Times New Roman"/>
        </w:rPr>
        <w:t>контрольных и экспертно-аналитических</w:t>
      </w:r>
      <w:r w:rsidRPr="009445FB">
        <w:rPr>
          <w:rFonts w:eastAsia="Times New Roman"/>
        </w:rPr>
        <w:t xml:space="preserve"> мероприятий</w:t>
      </w:r>
      <w:r w:rsidR="00FE7F02">
        <w:rPr>
          <w:rFonts w:eastAsia="Times New Roman"/>
        </w:rPr>
        <w:t>.</w:t>
      </w:r>
    </w:p>
    <w:p w:rsidR="00AE2DA1" w:rsidRPr="00D21C95" w:rsidRDefault="00AE2DA1" w:rsidP="00263F47">
      <w:pPr>
        <w:pStyle w:val="a5"/>
        <w:rPr>
          <w:rFonts w:eastAsia="Times New Roman"/>
        </w:rPr>
      </w:pPr>
      <w:r w:rsidRPr="00D21C95">
        <w:rPr>
          <w:rFonts w:eastAsia="Times New Roman"/>
        </w:rPr>
        <w:t>По итогам за 202</w:t>
      </w:r>
      <w:r w:rsidR="00DD426B" w:rsidRPr="00D21C95">
        <w:rPr>
          <w:rFonts w:eastAsia="Times New Roman"/>
        </w:rPr>
        <w:t>2</w:t>
      </w:r>
      <w:r w:rsidRPr="00D21C95">
        <w:rPr>
          <w:rFonts w:eastAsia="Times New Roman"/>
        </w:rPr>
        <w:t xml:space="preserve"> год</w:t>
      </w:r>
      <w:r w:rsidRPr="00D21C95">
        <w:t xml:space="preserve"> </w:t>
      </w:r>
      <w:r w:rsidR="001927D5" w:rsidRPr="00D21C95">
        <w:rPr>
          <w:rFonts w:eastAsia="Times New Roman"/>
        </w:rPr>
        <w:t>объектами контроля</w:t>
      </w:r>
      <w:r w:rsidRPr="00D21C95">
        <w:rPr>
          <w:rFonts w:eastAsia="Times New Roman"/>
        </w:rPr>
        <w:t>:</w:t>
      </w:r>
    </w:p>
    <w:p w:rsidR="00FE7F02" w:rsidRPr="00D21C95" w:rsidRDefault="00D21C95" w:rsidP="00263F47">
      <w:pPr>
        <w:pStyle w:val="20"/>
        <w:rPr>
          <w:strike/>
        </w:rPr>
      </w:pPr>
      <w:r w:rsidRPr="00D21C95">
        <w:t>устранен 41</w:t>
      </w:r>
      <w:r w:rsidR="00294F6F" w:rsidRPr="00D21C95">
        <w:t xml:space="preserve"> </w:t>
      </w:r>
      <w:r w:rsidR="008D4308" w:rsidRPr="00D21C95">
        <w:t xml:space="preserve">факт </w:t>
      </w:r>
      <w:r w:rsidR="00294F6F" w:rsidRPr="00D21C95">
        <w:t>нарушений и</w:t>
      </w:r>
      <w:r w:rsidR="00A77442" w:rsidRPr="00D21C95">
        <w:t xml:space="preserve"> </w:t>
      </w:r>
      <w:r w:rsidR="00294F6F" w:rsidRPr="00D21C95">
        <w:t>недостатк</w:t>
      </w:r>
      <w:r w:rsidR="00BC6746" w:rsidRPr="00D21C95">
        <w:t>ов</w:t>
      </w:r>
      <w:r w:rsidR="00FE7F02" w:rsidRPr="00D21C95">
        <w:t>;</w:t>
      </w:r>
    </w:p>
    <w:p w:rsidR="00FE7F02" w:rsidRPr="00D21C95" w:rsidRDefault="00FE7F02" w:rsidP="00263F47">
      <w:pPr>
        <w:pStyle w:val="20"/>
      </w:pPr>
      <w:r w:rsidRPr="00D21C95">
        <w:t xml:space="preserve">исполнено </w:t>
      </w:r>
      <w:r w:rsidR="00D21C95" w:rsidRPr="00D21C95">
        <w:t>23</w:t>
      </w:r>
      <w:r w:rsidR="008048DB" w:rsidRPr="00D21C95">
        <w:t xml:space="preserve"> рекомендации и </w:t>
      </w:r>
      <w:r w:rsidR="00D21C95" w:rsidRPr="00D21C95">
        <w:t>1</w:t>
      </w:r>
      <w:r w:rsidR="008048DB" w:rsidRPr="00D21C95">
        <w:t>1</w:t>
      </w:r>
      <w:r w:rsidRPr="00D21C95">
        <w:t xml:space="preserve"> предложени</w:t>
      </w:r>
      <w:r w:rsidR="00D21C95" w:rsidRPr="00D21C95">
        <w:t>й</w:t>
      </w:r>
      <w:r w:rsidRPr="00D21C95">
        <w:t xml:space="preserve"> Контрольно-счетной комиссии</w:t>
      </w:r>
      <w:r w:rsidR="008048DB" w:rsidRPr="00D21C95">
        <w:t>.</w:t>
      </w:r>
    </w:p>
    <w:p w:rsidR="004F03A5" w:rsidRPr="00D21C95" w:rsidRDefault="004F03A5" w:rsidP="00263F47">
      <w:pPr>
        <w:pStyle w:val="a5"/>
      </w:pPr>
      <w:r w:rsidRPr="00D21C95">
        <w:t xml:space="preserve">В 2022 году </w:t>
      </w:r>
      <w:r w:rsidR="008A6DCF" w:rsidRPr="00D21C95">
        <w:t>возмещено</w:t>
      </w:r>
      <w:r w:rsidR="00A77442" w:rsidRPr="00D21C95">
        <w:t xml:space="preserve"> </w:t>
      </w:r>
      <w:r w:rsidRPr="00D21C95">
        <w:t>в бюджет Грачевского муниципального округа 16,9 тыс. рублей.</w:t>
      </w:r>
    </w:p>
    <w:p w:rsidR="008D654D" w:rsidRDefault="008D654D" w:rsidP="0093449A">
      <w:pPr>
        <w:pStyle w:val="a5"/>
        <w:spacing w:before="280"/>
      </w:pPr>
      <w:r w:rsidRPr="00E04A71">
        <w:t>В отчетном периоде</w:t>
      </w:r>
      <w:r w:rsidR="00533569" w:rsidRPr="00E04A71">
        <w:t>,</w:t>
      </w:r>
      <w:r w:rsidRPr="00E04A71">
        <w:t xml:space="preserve"> на основани</w:t>
      </w:r>
      <w:r w:rsidR="00533569" w:rsidRPr="00E04A71">
        <w:t>и</w:t>
      </w:r>
      <w:r w:rsidRPr="00E04A71">
        <w:t xml:space="preserve"> предложений Контрольно-счетной комиссии </w:t>
      </w:r>
      <w:r w:rsidR="00E04A71" w:rsidRPr="00E04A71">
        <w:t>объектами контроля принят</w:t>
      </w:r>
      <w:r w:rsidR="002B1D73">
        <w:t>о</w:t>
      </w:r>
      <w:r w:rsidR="00E04A71" w:rsidRPr="00E04A71">
        <w:t xml:space="preserve"> 7 </w:t>
      </w:r>
      <w:r w:rsidRPr="00E04A71">
        <w:t>локальных нормативных акта</w:t>
      </w:r>
      <w:r w:rsidR="0084696F">
        <w:t>,</w:t>
      </w:r>
      <w:r w:rsidR="0093449A" w:rsidRPr="0093449A">
        <w:t xml:space="preserve"> </w:t>
      </w:r>
      <w:r w:rsidR="0093449A">
        <w:t>регламентирующих деятельность ГРБС</w:t>
      </w:r>
      <w:r w:rsidRPr="00E04A71">
        <w:t>.</w:t>
      </w:r>
    </w:p>
    <w:p w:rsidR="001D7FAC" w:rsidRDefault="001D7FAC" w:rsidP="00263F47">
      <w:pPr>
        <w:pStyle w:val="a5"/>
      </w:pPr>
      <w:r w:rsidRPr="001D7FAC">
        <w:t>По результатам мероприятий Контрольно-счетной комиссии</w:t>
      </w:r>
      <w:r w:rsidR="00FE4CFB" w:rsidRPr="00FE4CFB">
        <w:t xml:space="preserve"> за ненадлежащее исполнение должностных обязанностей, в том числе повлекшее нарушени</w:t>
      </w:r>
      <w:r w:rsidR="00514375">
        <w:t>я</w:t>
      </w:r>
      <w:r w:rsidR="00FE4CFB" w:rsidRPr="00FE4CFB">
        <w:t xml:space="preserve"> действующего законодательства и неэффективное использование бюджетных средств</w:t>
      </w:r>
      <w:r w:rsidRPr="001D7FAC">
        <w:t xml:space="preserve"> меры дисциплинарной ответственности применены в отношении </w:t>
      </w:r>
      <w:r w:rsidR="0039207F">
        <w:t>2</w:t>
      </w:r>
      <w:r w:rsidRPr="001D7FAC">
        <w:t xml:space="preserve"> должностных лиц.</w:t>
      </w:r>
    </w:p>
    <w:p w:rsidR="000D2197" w:rsidRPr="000D2197" w:rsidRDefault="000D2197" w:rsidP="000D2197">
      <w:pPr>
        <w:pStyle w:val="1"/>
      </w:pPr>
      <w:r w:rsidRPr="000D2197">
        <w:t>Итоги контрольной деятельности</w:t>
      </w:r>
    </w:p>
    <w:p w:rsidR="000D2197" w:rsidRPr="000D2197" w:rsidRDefault="000D2197" w:rsidP="000D2197">
      <w:pPr>
        <w:pStyle w:val="a5"/>
      </w:pPr>
      <w:r w:rsidRPr="000D2197">
        <w:t>В 2022 году Контрольно-счетной комиссией проведено 19 контрольных мероприятия, в рамках которых выполнено 3 документальных проверки (из них – 2 тематических мероприятия, 1 - проверка муниципальн</w:t>
      </w:r>
      <w:r w:rsidR="002B1D73">
        <w:t>ого</w:t>
      </w:r>
      <w:r w:rsidRPr="000D2197">
        <w:t xml:space="preserve"> учреждени</w:t>
      </w:r>
      <w:r w:rsidR="002B1D73">
        <w:t>я</w:t>
      </w:r>
      <w:r w:rsidRPr="000D2197">
        <w:t xml:space="preserve"> Грачевского округа в рамках аудита в сфере закупок) и 16 внешних проверок </w:t>
      </w:r>
      <w:r w:rsidR="002B1D73" w:rsidRPr="002B1D73">
        <w:t>бюджетной отчетности главных администраторов бюджетных средств Грачевского муниципального округа за 2021 год</w:t>
      </w:r>
      <w:r w:rsidRPr="000D2197">
        <w:t>.</w:t>
      </w:r>
    </w:p>
    <w:p w:rsidR="000D2197" w:rsidRPr="000D2197" w:rsidRDefault="000D2197" w:rsidP="00083367">
      <w:pPr>
        <w:pStyle w:val="2"/>
        <w:keepNext w:val="0"/>
        <w:widowControl w:val="0"/>
      </w:pPr>
      <w:r w:rsidRPr="000D2197">
        <w:t>Внешняя проверка бюджетной отчетности главных администраторов бюджетных средств Грачевского муниципального округа за 2021 год</w:t>
      </w:r>
    </w:p>
    <w:p w:rsidR="000D2197" w:rsidRPr="000D2197" w:rsidRDefault="000D2197" w:rsidP="000D2197">
      <w:pPr>
        <w:pStyle w:val="a5"/>
      </w:pPr>
      <w:r w:rsidRPr="000D2197">
        <w:lastRenderedPageBreak/>
        <w:t>В ходе внешней проверки отчета об исполнении бюджета Грачевского муниципального округа за 2021 год проведены камеральные проверки бюджетной отчетности 16 главных администраторов бюджетных средств (ГАБС), составлены заключения и подготовлены отчеты по каждому ГАБС и</w:t>
      </w:r>
      <w:r w:rsidR="00A77442">
        <w:t xml:space="preserve"> </w:t>
      </w:r>
      <w:r w:rsidRPr="000D2197">
        <w:t>направлены в адрес объектов контроля.</w:t>
      </w:r>
    </w:p>
    <w:p w:rsidR="000D2197" w:rsidRPr="000D2197" w:rsidRDefault="000D2197" w:rsidP="000D2197">
      <w:pPr>
        <w:pStyle w:val="a5"/>
      </w:pPr>
      <w:r w:rsidRPr="000D2197">
        <w:t xml:space="preserve">В ходе проверки установлено, что данные, представленные в формах отчетности об исполнении консолидированного бюджета, согласуются с данными, отраженными в годовой отчетности ГАБС, контрольные соотношения между основными показателями форм годовой бюджетной (бухгалтерской) отчетности и требования, установленные действующим законодательством в целом соблюдены. </w:t>
      </w:r>
    </w:p>
    <w:p w:rsidR="000D2197" w:rsidRPr="000D2197" w:rsidRDefault="000D2197" w:rsidP="000D2197">
      <w:pPr>
        <w:pStyle w:val="a5"/>
      </w:pPr>
      <w:r w:rsidRPr="000D2197">
        <w:t>Тем не менее, проверками выявлены</w:t>
      </w:r>
      <w:r w:rsidR="00A77442">
        <w:t xml:space="preserve"> </w:t>
      </w:r>
      <w:r w:rsidRPr="000D2197">
        <w:t>нарушения, среди которых характерными стали нарушения общих требований при формировании бухгалтерской (финансовой) отчетности, установленные Инструкцией №191н</w:t>
      </w:r>
      <w:r w:rsidRPr="000D2197">
        <w:rPr>
          <w:vertAlign w:val="superscript"/>
        </w:rPr>
        <w:footnoteReference w:id="6"/>
      </w:r>
      <w:r w:rsidRPr="000D2197">
        <w:t>. В отчетности 11 ГАБС выявлено и</w:t>
      </w:r>
      <w:r w:rsidR="00A77442">
        <w:t xml:space="preserve"> </w:t>
      </w:r>
      <w:r w:rsidRPr="000D2197">
        <w:t>систематизировано по группам 68 нарушений:</w:t>
      </w:r>
    </w:p>
    <w:p w:rsidR="000D2197" w:rsidRPr="000D2197" w:rsidRDefault="000D2197" w:rsidP="000D2197">
      <w:pPr>
        <w:pStyle w:val="20"/>
      </w:pPr>
      <w:r w:rsidRPr="000D2197">
        <w:t>несоответствие представленной бюджетной отчетности установленным требованиям к ее составу</w:t>
      </w:r>
      <w:r w:rsidR="00A77442">
        <w:t xml:space="preserve"> </w:t>
      </w:r>
      <w:r w:rsidRPr="000D2197">
        <w:t xml:space="preserve">(в отчетности 9 ГАБС </w:t>
      </w:r>
      <w:r>
        <w:t>–</w:t>
      </w:r>
      <w:r w:rsidRPr="000D2197">
        <w:t xml:space="preserve"> 13</w:t>
      </w:r>
      <w:r>
        <w:t> </w:t>
      </w:r>
      <w:r w:rsidRPr="000D2197">
        <w:t>нарушений);</w:t>
      </w:r>
    </w:p>
    <w:p w:rsidR="000D2197" w:rsidRPr="000D2197" w:rsidRDefault="000D2197" w:rsidP="000D2197">
      <w:pPr>
        <w:pStyle w:val="20"/>
      </w:pPr>
      <w:r w:rsidRPr="000D2197">
        <w:t>оформление форм бюджетной отчетности с нарушениями требований Инструкции №191н (в отчетности 11 ГАБС - 20 нарушений);</w:t>
      </w:r>
    </w:p>
    <w:p w:rsidR="000D2197" w:rsidRPr="000D2197" w:rsidRDefault="000D2197" w:rsidP="000D2197">
      <w:pPr>
        <w:pStyle w:val="20"/>
      </w:pPr>
      <w:r w:rsidRPr="000D2197">
        <w:t>ненадлежащее или неполное отражение данных в бюджетной отчетности (в отчетности 9 ГАБС - 35 нарушений).</w:t>
      </w:r>
    </w:p>
    <w:p w:rsidR="000D2197" w:rsidRPr="000D2197" w:rsidRDefault="000D2197" w:rsidP="000D2197">
      <w:pPr>
        <w:pStyle w:val="a5"/>
      </w:pPr>
      <w:r w:rsidRPr="000D2197">
        <w:t xml:space="preserve">До всех главных администраторов бюджетных средств Грачевского муниципального округа были доведены результаты проверок для проведения анализа и устранения выявленных нарушений. </w:t>
      </w:r>
    </w:p>
    <w:p w:rsidR="000D2197" w:rsidRPr="000D2197" w:rsidRDefault="000D2197" w:rsidP="000D2197">
      <w:pPr>
        <w:pStyle w:val="a5"/>
      </w:pPr>
      <w:r w:rsidRPr="000D2197">
        <w:t>Результаты внешних проверок бюджетной отчетности главных администраторов бюджетных средств Грачевского муниципального округа были использованы при подготовке заключения Контрольно-счетной комиссии на отчет об исполнении бюджета Грачевского муниципального округа за 2021 год.</w:t>
      </w:r>
    </w:p>
    <w:p w:rsidR="000D2197" w:rsidRPr="000D2197" w:rsidRDefault="000D2197" w:rsidP="00A77442">
      <w:pPr>
        <w:pStyle w:val="2"/>
      </w:pPr>
      <w:r w:rsidRPr="000D2197">
        <w:t>Аудит в сфере закупок для обеспечения муниципальных нужд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 за 2021 год.</w:t>
      </w:r>
    </w:p>
    <w:p w:rsidR="000D2197" w:rsidRPr="000D2197" w:rsidRDefault="000D2197" w:rsidP="00A77442">
      <w:pPr>
        <w:pStyle w:val="a5"/>
      </w:pPr>
      <w:r w:rsidRPr="000D2197">
        <w:t>Объем проверенных средств составил</w:t>
      </w:r>
      <w:r w:rsidR="00A77442">
        <w:t xml:space="preserve"> </w:t>
      </w:r>
      <w:r w:rsidRPr="000D2197">
        <w:t xml:space="preserve">1 890,38 тыс. рублей. </w:t>
      </w:r>
    </w:p>
    <w:p w:rsidR="000D2197" w:rsidRPr="000D2197" w:rsidRDefault="000D2197" w:rsidP="00A77442">
      <w:pPr>
        <w:pStyle w:val="a5"/>
      </w:pPr>
      <w:r w:rsidRPr="000D2197">
        <w:t>В ходе проверки были выявлены нарушения Федерального закон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0D2197" w:rsidRPr="000D2197" w:rsidRDefault="000D2197" w:rsidP="00A77442">
      <w:pPr>
        <w:pStyle w:val="a5"/>
      </w:pPr>
      <w:r w:rsidRPr="000D2197">
        <w:t xml:space="preserve">Всего в ходе контрольного мероприятия установлено 76 фактов </w:t>
      </w:r>
      <w:r w:rsidRPr="000D2197">
        <w:lastRenderedPageBreak/>
        <w:t>нарушений требований законодательства о закупках, не имеющих стоимостной оценки, в том числе:</w:t>
      </w:r>
    </w:p>
    <w:p w:rsidR="000D2197" w:rsidRPr="000D2197" w:rsidRDefault="000D2197" w:rsidP="00A77442">
      <w:pPr>
        <w:pStyle w:val="a0"/>
      </w:pPr>
      <w:r w:rsidRPr="000D2197">
        <w:t>Непредставление (</w:t>
      </w:r>
      <w:proofErr w:type="spellStart"/>
      <w:r w:rsidRPr="000D2197">
        <w:t>ненаправление</w:t>
      </w:r>
      <w:proofErr w:type="spellEnd"/>
      <w:r w:rsidRPr="000D2197">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 (1 нарушение):</w:t>
      </w:r>
    </w:p>
    <w:p w:rsidR="000D2197" w:rsidRPr="000D2197" w:rsidRDefault="000D2197" w:rsidP="00A77442">
      <w:pPr>
        <w:pStyle w:val="a5"/>
      </w:pPr>
      <w:r w:rsidRPr="000D2197">
        <w:t xml:space="preserve">В ходе контрольного мероприятия установлено, что МКУ «МФЦ» 27.01.2021 с ГУП СК «Ставропольский краевой теплоэнергетический комплекс» был заключен контакт № 224 на поставку тепловой энергии, на общую сумму 167 915,68 рублей. </w:t>
      </w:r>
    </w:p>
    <w:p w:rsidR="000D2197" w:rsidRPr="000D2197" w:rsidRDefault="000D2197" w:rsidP="00A77442">
      <w:pPr>
        <w:pStyle w:val="a5"/>
      </w:pPr>
      <w:r w:rsidRPr="000D2197">
        <w:t>Согласно преамбуле, данный контракт был заключен сторонами в соответствии с п. 8 ч. 1 ст. 93 Закона № 44-ФЗ.</w:t>
      </w:r>
    </w:p>
    <w:p w:rsidR="000D2197" w:rsidRPr="000D2197" w:rsidRDefault="000D2197" w:rsidP="00A77442">
      <w:pPr>
        <w:pStyle w:val="a5"/>
      </w:pPr>
      <w:r w:rsidRPr="000D2197">
        <w:t>При этом, в нарушение ст. 103 Закона № 44-ФЗ, пунктов 2,3 Правил ведения реестра контрактов, заключенных заказчиками, утвержденных постановлением Правительства РФ от 28.11.2013 № 1084 (далее – Правила ведения реестра контрактов) информация о заключении и об исполнении данного контракта отсутствует в реестре контрактов.</w:t>
      </w:r>
    </w:p>
    <w:p w:rsidR="000D2197" w:rsidRPr="000D2197" w:rsidRDefault="000D2197" w:rsidP="00A77442">
      <w:pPr>
        <w:pStyle w:val="a0"/>
      </w:pPr>
      <w:r w:rsidRPr="000D2197">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(1 нарушение):</w:t>
      </w:r>
    </w:p>
    <w:p w:rsidR="000D2197" w:rsidRPr="000D2197" w:rsidRDefault="000D2197" w:rsidP="00A77442">
      <w:pPr>
        <w:pStyle w:val="a5"/>
      </w:pPr>
      <w:r w:rsidRPr="000D2197">
        <w:t>В ходе проверки установлено, что в нарушение п. 18 Положения №</w:t>
      </w:r>
      <w:r w:rsidR="00A77442">
        <w:t xml:space="preserve"> </w:t>
      </w:r>
      <w:r w:rsidRPr="000D2197">
        <w:t>1279</w:t>
      </w:r>
      <w:r w:rsidRPr="000D2197">
        <w:rPr>
          <w:vertAlign w:val="superscript"/>
        </w:rPr>
        <w:footnoteReference w:id="7"/>
      </w:r>
      <w:r w:rsidRPr="000D2197">
        <w:t>, в плане-графике на 2021 год информация о закупке МКУ «МФЦ» тепловой энергии у единственного поставщика в соответствии с п.8 ч.1 ст. 93 Закона № 44-ФЗ на общую сумму 167 915,68 рублей в форме отдельный закупки отсутствует.</w:t>
      </w:r>
    </w:p>
    <w:p w:rsidR="000D2197" w:rsidRPr="000D2197" w:rsidRDefault="000D2197" w:rsidP="00A77442">
      <w:pPr>
        <w:pStyle w:val="a0"/>
      </w:pPr>
      <w:proofErr w:type="spellStart"/>
      <w:r w:rsidRPr="000D2197">
        <w:t>Невключение</w:t>
      </w:r>
      <w:proofErr w:type="spellEnd"/>
      <w:r w:rsidRPr="000D2197">
        <w:t xml:space="preserve"> в контракт (договор) обязательных условий (70 нарушений):</w:t>
      </w:r>
    </w:p>
    <w:p w:rsidR="000D2197" w:rsidRPr="000D2197" w:rsidRDefault="000D2197" w:rsidP="00A77442">
      <w:pPr>
        <w:pStyle w:val="a5"/>
      </w:pPr>
      <w:r w:rsidRPr="000D2197">
        <w:t xml:space="preserve">В нарушение ч. 1 ст. 23 Закона № 44-ФЗ ни в одном из заключенных в 2021 году МКУ «МФЦ» контрактов не указан идентификационный код </w:t>
      </w:r>
      <w:r w:rsidRPr="000D2197">
        <w:lastRenderedPageBreak/>
        <w:t xml:space="preserve">закупки. </w:t>
      </w:r>
    </w:p>
    <w:p w:rsidR="000D2197" w:rsidRPr="000D2197" w:rsidRDefault="000D2197" w:rsidP="00A77442">
      <w:pPr>
        <w:pStyle w:val="a5"/>
      </w:pPr>
      <w:r w:rsidRPr="000D2197">
        <w:t>В соответствии с ч. 1 ст. 23 Закона № 44-ФЗ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Законом № 44-ФЗ. Исключений для каких-либо категорий контрактов данной нормой не предусмотрено.</w:t>
      </w:r>
    </w:p>
    <w:p w:rsidR="000D2197" w:rsidRPr="000D2197" w:rsidRDefault="000D2197" w:rsidP="00A77442">
      <w:pPr>
        <w:pStyle w:val="a0"/>
      </w:pPr>
      <w:r w:rsidRPr="000D2197">
        <w:t>Нарушения при нормировании в сфере закупок (4 нарушения):</w:t>
      </w:r>
    </w:p>
    <w:p w:rsidR="000D2197" w:rsidRPr="000D2197" w:rsidRDefault="000D2197" w:rsidP="00A77442">
      <w:pPr>
        <w:pStyle w:val="a5"/>
      </w:pPr>
      <w:r w:rsidRPr="000D2197">
        <w:t xml:space="preserve">В ходе контрольного мероприятия установлены случаи заключения МКУ «МФЦ» муниципальных контрактов с превышением нормативных затрат на обеспечение функций администрации Грачевского муниципального округа Ставропольского края и функций подведомственных администрации Грачевского муниципального округа Ставропольского края муниципальных казенных учреждений Грачевского муниципального округа Ставропольского края, утвержденных распоряжением администрации Грачевского муниципального округа Ставропольского края от 12.07.2021 № 67-рб. </w:t>
      </w:r>
    </w:p>
    <w:p w:rsidR="000D2197" w:rsidRPr="000D2197" w:rsidRDefault="000D2197" w:rsidP="00A77442">
      <w:pPr>
        <w:pStyle w:val="a5"/>
      </w:pPr>
      <w:r w:rsidRPr="000D2197">
        <w:t xml:space="preserve">Объем фактических расходов, произведенных МКУ «МФЦ» превысил предельный объем нормативных затрат по соответствующим товарам и услугам, установленный Распоряжением № 67-рб, на 160 589,70 рублей. </w:t>
      </w:r>
    </w:p>
    <w:p w:rsidR="000D2197" w:rsidRPr="000D2197" w:rsidRDefault="000D2197" w:rsidP="00A77442">
      <w:pPr>
        <w:pStyle w:val="a5"/>
      </w:pPr>
      <w:r w:rsidRPr="000D2197">
        <w:t>Вместе с тем, следует отметить, что общий объем затрат, связанный с закупкой товаров, работ и услуг, осуществленных МКУ «МФЦ» в 2021 году, не превысил объема лимитов бюджетных обязательств, доведенных Учреждению на закупку товаров, работ и услуг в 2021 году.</w:t>
      </w:r>
    </w:p>
    <w:p w:rsidR="000D2197" w:rsidRPr="000D2197" w:rsidRDefault="000D2197" w:rsidP="00A77442">
      <w:pPr>
        <w:pStyle w:val="2"/>
      </w:pPr>
      <w:r w:rsidRPr="000D2197">
        <w:t>Проверка законности, результативности (эффективности и экономности) использования средств бюджета Грачевского муниципального округа, выделенных Сергиевскому территориальному управлению администрации Грачевского муниципального округа Ставропольского края на комплексное развитие сельских территорий и реализацию проектов развития территорий муниципальных образований, основанных на местных инициативах в 2021 году и истекшем периоде 2022 года. Аудит в сфере закупок для обеспечения муниципальных нужд Сергиевского территориального управления администрации Грачевского муниципального округа Ставропольского края за 2021 год и истекший период 2022 года.</w:t>
      </w:r>
    </w:p>
    <w:p w:rsidR="000D2197" w:rsidRPr="000D2197" w:rsidRDefault="000D2197" w:rsidP="00A77442">
      <w:pPr>
        <w:pStyle w:val="a5"/>
      </w:pPr>
      <w:r w:rsidRPr="000D2197">
        <w:t xml:space="preserve">Объем проверенных средств составил 3 456,72 тыс. рублей. </w:t>
      </w:r>
    </w:p>
    <w:p w:rsidR="000D2197" w:rsidRPr="000D2197" w:rsidRDefault="000D2197" w:rsidP="00A77442">
      <w:pPr>
        <w:pStyle w:val="a5"/>
      </w:pPr>
      <w:r w:rsidRPr="000D2197">
        <w:t>В ходе проверки были выявлены нарушения Федерального закон от 05.04.2013 № 44-ФЗ "О контрактной системе в сфере закупок товаров, работ, услуг для обеспечения государственных и муниципальных нужд", иные нарушения.</w:t>
      </w:r>
    </w:p>
    <w:p w:rsidR="000D2197" w:rsidRPr="000D2197" w:rsidRDefault="000D2197" w:rsidP="00A77442">
      <w:pPr>
        <w:pStyle w:val="a5"/>
      </w:pPr>
      <w:r w:rsidRPr="000D2197">
        <w:t xml:space="preserve">Всего в ходе проверки выявлен 1 факт нарушения финансовой дисциплины на сумму 7,79 тыс. рублей, а также 31 факт нарушений требований </w:t>
      </w:r>
      <w:r w:rsidRPr="000D2197">
        <w:lastRenderedPageBreak/>
        <w:t>законодательства о закупках, не имеющих стоимостной оценки в том числе:</w:t>
      </w:r>
    </w:p>
    <w:p w:rsidR="000D2197" w:rsidRPr="000D2197" w:rsidRDefault="000D2197" w:rsidP="00A77442">
      <w:pPr>
        <w:pStyle w:val="a0"/>
      </w:pPr>
      <w:r w:rsidRPr="000D2197">
        <w:t>Внесение изменений (невнесение изменений) в контракт (договор) с нарушением требований, установленных законодательством Российской Федерации (одно нарушение не имеющие стоимостной оценки):</w:t>
      </w:r>
    </w:p>
    <w:p w:rsidR="000D2197" w:rsidRPr="000D2197" w:rsidRDefault="000D2197" w:rsidP="00A77442">
      <w:pPr>
        <w:pStyle w:val="a5"/>
      </w:pPr>
      <w:r w:rsidRPr="000D2197">
        <w:t xml:space="preserve">В ходе контрольного мероприятия установлено, что в процессе выполнения работ по ремонту тротуара по ул. Ленина (подъезд к МТФ-1) (от ул. Карла Маркса)) в селе Сергиевском Грачевского округа Ставропольского края, в связи с неудовлетворительным состоянием пешеходного моста, являющегося частью тротуара, между Сергиевским ТУ и ИП </w:t>
      </w:r>
      <w:proofErr w:type="spellStart"/>
      <w:r w:rsidRPr="000D2197">
        <w:t>Барсегян</w:t>
      </w:r>
      <w:proofErr w:type="spellEnd"/>
      <w:r w:rsidRPr="000D2197">
        <w:t xml:space="preserve"> 18.06.2021 было заключено Соглашение о замене ремонтных работ на пешеходном мосту (тротуар по типу 3 (мост)), стоимостью 10 062,30</w:t>
      </w:r>
      <w:r w:rsidR="00A77442">
        <w:t xml:space="preserve"> </w:t>
      </w:r>
      <w:r w:rsidRPr="000D2197">
        <w:t>рублей, на дополнительный объем работ по ремонту тротуара (тротуар по типу 1), стоимостью 30 162,42 рублей (увеличена площадь тротуара</w:t>
      </w:r>
      <w:r w:rsidR="00A77442">
        <w:t xml:space="preserve"> </w:t>
      </w:r>
      <w:r w:rsidRPr="000D2197">
        <w:t xml:space="preserve">на 48 </w:t>
      </w:r>
      <w:r w:rsidR="00180D70">
        <w:t xml:space="preserve"> </w:t>
      </w:r>
      <w:proofErr w:type="spellStart"/>
      <w:r w:rsidR="00180D70">
        <w:t>кв.м</w:t>
      </w:r>
      <w:proofErr w:type="spellEnd"/>
      <w:r w:rsidR="00180D70">
        <w:t>.</w:t>
      </w:r>
      <w:r w:rsidRPr="000D2197">
        <w:t xml:space="preserve"> путем увеличения протяженности пешеходной дорожки за счет включения дополнительного участка от дома № 100 по улице Ленина до дома № 86 по улице Ленина), без изменения</w:t>
      </w:r>
      <w:r w:rsidR="00A77442">
        <w:t xml:space="preserve"> </w:t>
      </w:r>
      <w:r w:rsidRPr="000D2197">
        <w:t>цены муниципального контракта от 19.04.2021 № 3260600938021000002.</w:t>
      </w:r>
    </w:p>
    <w:p w:rsidR="000D2197" w:rsidRPr="000D2197" w:rsidRDefault="000D2197" w:rsidP="00A77442">
      <w:pPr>
        <w:pStyle w:val="a5"/>
      </w:pPr>
      <w:r w:rsidRPr="000D2197">
        <w:t xml:space="preserve">Возможность изменения по соглашению сторон предусмотренного контрактом объема работ, была предусмотрена Документацией об электронном аукционе № 0121600021021000017 и муниципальным контрактом № 3260600938021000002. Однако дополнительное соглашение к муниципальному контракту № 3260600938021000002 между Сергиевским ТУ и ИП </w:t>
      </w:r>
      <w:proofErr w:type="spellStart"/>
      <w:r w:rsidRPr="000D2197">
        <w:t>Барсегян</w:t>
      </w:r>
      <w:proofErr w:type="spellEnd"/>
      <w:r w:rsidRPr="000D2197">
        <w:t xml:space="preserve"> не заключалось.</w:t>
      </w:r>
    </w:p>
    <w:p w:rsidR="000D2197" w:rsidRPr="000D2197" w:rsidRDefault="000D2197" w:rsidP="00A77442">
      <w:pPr>
        <w:pStyle w:val="a5"/>
      </w:pPr>
      <w:r w:rsidRPr="000D2197">
        <w:t>Поскольку переписка сторон, протоколы совместных совещаний, акты осмотра объекта и т.п. не могут считаться дополнительным соглашением между сторонами, произведенное исключение одних работ и увеличение других видов работ на объекте было осуществлено сторонами муниципального контракта необоснованно.</w:t>
      </w:r>
    </w:p>
    <w:p w:rsidR="000D2197" w:rsidRPr="000D2197" w:rsidRDefault="000D2197" w:rsidP="00A77442">
      <w:pPr>
        <w:pStyle w:val="a5"/>
      </w:pPr>
      <w:r w:rsidRPr="000D2197">
        <w:t>Кроме того изменение объемов работ не нашло своего отражения в Акте о приемке выполненных работ за июль 2021 года от 27.07.2021 № 1 (далее – Акт о приемке выполненных работ № 1). А именно, Акт о приемке выполненных работ № 1 содержит сведения о выполнении работ «Тротуар по типу 3 (мост)», которые фактически не были выполнены, и не содержит сведений об увеличении объема работ по устройству тротуара по типу 2 на 48 </w:t>
      </w:r>
      <w:r w:rsidR="00180D70">
        <w:t xml:space="preserve"> </w:t>
      </w:r>
      <w:proofErr w:type="spellStart"/>
      <w:r w:rsidR="00180D70">
        <w:t>кв.м</w:t>
      </w:r>
      <w:proofErr w:type="spellEnd"/>
      <w:r w:rsidR="00180D70">
        <w:t>.</w:t>
      </w:r>
      <w:r w:rsidRPr="000D2197">
        <w:t>. Таким образом, Акт о приемке выполненных работ № 1 содержит недостоверные сведения о выполненных на объекте работах.</w:t>
      </w:r>
    </w:p>
    <w:p w:rsidR="000D2197" w:rsidRPr="000D2197" w:rsidRDefault="000D2197" w:rsidP="00A77442">
      <w:pPr>
        <w:pStyle w:val="a0"/>
      </w:pPr>
      <w:r w:rsidRPr="000D2197">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 (одно нарушение не имеющие стоимостной оценки):</w:t>
      </w:r>
    </w:p>
    <w:p w:rsidR="000D2197" w:rsidRPr="000D2197" w:rsidRDefault="000D2197" w:rsidP="00A77442">
      <w:pPr>
        <w:pStyle w:val="a5"/>
      </w:pPr>
      <w:r w:rsidRPr="000D2197">
        <w:t xml:space="preserve">Объем прав в денежном выражении на принятие и (или) исполнение обязательств был доведен Сергиевскому ТУ 30 декабря 2020 года. При этом </w:t>
      </w:r>
      <w:r w:rsidRPr="000D2197">
        <w:lastRenderedPageBreak/>
        <w:t>План-график закупок товаров, работ, услуг на 2021 финансовый год и на плановый период 2022 и 2023 годов (далее – план-график на 2021 год) первоначально был размещен Сергиевским ТУ в ЕИС Закупки 28 января 2021 года.</w:t>
      </w:r>
    </w:p>
    <w:p w:rsidR="000D2197" w:rsidRPr="000D2197" w:rsidRDefault="000D2197" w:rsidP="00A77442">
      <w:pPr>
        <w:pStyle w:val="a5"/>
      </w:pPr>
      <w:r w:rsidRPr="000D2197">
        <w:t>Таким образом, план-график на 2021 год утвержден и размещен Сергиевским ТУ с нарушением установленного срока на 4 рабочих дня.</w:t>
      </w:r>
    </w:p>
    <w:p w:rsidR="000D2197" w:rsidRPr="000D2197" w:rsidRDefault="000D2197" w:rsidP="00A77442">
      <w:pPr>
        <w:pStyle w:val="a0"/>
      </w:pPr>
      <w:r w:rsidRPr="000D2197">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(13 нарушений не имеющих стоимостной оценки):</w:t>
      </w:r>
    </w:p>
    <w:p w:rsidR="000D2197" w:rsidRPr="000D2197" w:rsidRDefault="000D2197" w:rsidP="00A77442">
      <w:pPr>
        <w:pStyle w:val="a5"/>
      </w:pPr>
      <w:r w:rsidRPr="000D2197">
        <w:t>Согласно ч. 1 ст. 16 Закона 44-ФЗ закупки, не предусмотренные планами-графиками, не могут быть осуществлены. При этом Сергиевским ТУ:</w:t>
      </w:r>
    </w:p>
    <w:p w:rsidR="000D2197" w:rsidRPr="000D2197" w:rsidRDefault="000D2197" w:rsidP="00A77442">
      <w:pPr>
        <w:pStyle w:val="20"/>
      </w:pPr>
      <w:r w:rsidRPr="000D2197">
        <w:t>до размещения в ЕИС Закупки плана-графика на 2021 год были заключено 6 договоров (контрактов) на общую сумму 130 031,12 рублей;</w:t>
      </w:r>
    </w:p>
    <w:p w:rsidR="000D2197" w:rsidRPr="000D2197" w:rsidRDefault="000D2197" w:rsidP="00A77442">
      <w:pPr>
        <w:pStyle w:val="20"/>
      </w:pPr>
      <w:r w:rsidRPr="000D2197">
        <w:t>до размещения в ЕИС Закупки плана-графика на 2022 год было заключено 7 договоров (контрактов) на общую сумму 167 709,93 рублей</w:t>
      </w:r>
    </w:p>
    <w:p w:rsidR="000D2197" w:rsidRPr="000D2197" w:rsidRDefault="000D2197" w:rsidP="00A77442">
      <w:pPr>
        <w:pStyle w:val="a0"/>
      </w:pPr>
      <w:r w:rsidRPr="000D2197">
        <w:t>Непредставление (</w:t>
      </w:r>
      <w:proofErr w:type="spellStart"/>
      <w:r w:rsidRPr="000D2197">
        <w:t>ненаправление</w:t>
      </w:r>
      <w:proofErr w:type="spellEnd"/>
      <w:r w:rsidRPr="000D2197">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 (6 нарушений не имеющих стоимостной оценки):</w:t>
      </w:r>
    </w:p>
    <w:p w:rsidR="000D2197" w:rsidRPr="000D2197" w:rsidRDefault="000D2197" w:rsidP="00A77442">
      <w:pPr>
        <w:pStyle w:val="a5"/>
      </w:pPr>
      <w:r w:rsidRPr="000D2197">
        <w:t>В ходе проверки сведений, содержащихся в едином реестре государственных и муниципальных контрактов в ЕИС Закупки, установлено отсутствие информации о заключении и об исполнении 6-ти муниципальных контрактов на общую сумму 95 121,51 рублей, в нарушение ст. 103 Закона № 44-ФЗ, пунктов 2,3 Правила ведения</w:t>
      </w:r>
      <w:r w:rsidR="00A77442">
        <w:t xml:space="preserve"> </w:t>
      </w:r>
      <w:r w:rsidRPr="000D2197">
        <w:t>реестра контрактов № 1084</w:t>
      </w:r>
      <w:r w:rsidRPr="000D2197">
        <w:rPr>
          <w:vertAlign w:val="superscript"/>
        </w:rPr>
        <w:footnoteReference w:id="8"/>
      </w:r>
      <w:r w:rsidRPr="000D2197">
        <w:t>. (5 контрактов, заключенных в соответствии с п. 8 ч. 1 ст. 93 Закона № 44-ФЗ и один муниципальный контракт, заключенный в соответствии с п. 11 ч. 1 ст. 93 Закона № 44-ФЗ).</w:t>
      </w:r>
    </w:p>
    <w:p w:rsidR="000D2197" w:rsidRPr="000D2197" w:rsidRDefault="000D2197" w:rsidP="00A77442">
      <w:pPr>
        <w:pStyle w:val="a0"/>
      </w:pPr>
      <w:proofErr w:type="spellStart"/>
      <w:r w:rsidRPr="000D2197">
        <w:t>Невключение</w:t>
      </w:r>
      <w:proofErr w:type="spellEnd"/>
      <w:r w:rsidRPr="000D2197">
        <w:t xml:space="preserve"> в контракт (договор) обязательных условий (7 нарушений не имеющих стоимостной оценки):</w:t>
      </w:r>
    </w:p>
    <w:p w:rsidR="000D2197" w:rsidRPr="000D2197" w:rsidRDefault="000D2197" w:rsidP="00A77442">
      <w:pPr>
        <w:pStyle w:val="a5"/>
      </w:pPr>
      <w:r w:rsidRPr="000D2197">
        <w:lastRenderedPageBreak/>
        <w:t>В ходе контрольного мероприятия установлено, что в нарушение ч. 1 ст. 23 Закона № 44-ФЗ в 6-ти контрактах не указаны идентификационные коды закупки.</w:t>
      </w:r>
    </w:p>
    <w:p w:rsidR="000D2197" w:rsidRPr="000D2197" w:rsidRDefault="000D2197" w:rsidP="00A77442">
      <w:pPr>
        <w:pStyle w:val="a5"/>
      </w:pPr>
      <w:r w:rsidRPr="000D2197">
        <w:t>В нарушение ч. 13.1 ст. 34 Закона № 44-ФЗ допускались случаи заключения договоров с единственным поставщиком на основании п. 4 ч.1 ст. 93 Закона № 44-ФЗ, содержащих условия о сроках оплаты товара, работы или услуги, превышающих 30 дней с даты подписания документа о приемке (1 договор на сумму 106 564,51 рублей).</w:t>
      </w:r>
    </w:p>
    <w:p w:rsidR="000D2197" w:rsidRPr="000D2197" w:rsidRDefault="000D2197" w:rsidP="00A77442">
      <w:pPr>
        <w:pStyle w:val="a0"/>
      </w:pPr>
      <w:proofErr w:type="spellStart"/>
      <w:r w:rsidRPr="000D2197">
        <w:t>Неразмещение</w:t>
      </w:r>
      <w:proofErr w:type="spellEnd"/>
      <w:r w:rsidRPr="000D2197">
        <w:t xml:space="preserve">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 (2 нарушения не имеющих стоимостной оценки):</w:t>
      </w:r>
    </w:p>
    <w:p w:rsidR="000D2197" w:rsidRPr="000D2197" w:rsidRDefault="000D2197" w:rsidP="00A77442">
      <w:pPr>
        <w:pStyle w:val="a5"/>
      </w:pPr>
      <w:r w:rsidRPr="000D2197">
        <w:t>В нарушение требований законодательства о закупках</w:t>
      </w:r>
      <w:r w:rsidRPr="000D2197">
        <w:rPr>
          <w:vertAlign w:val="superscript"/>
        </w:rPr>
        <w:footnoteReference w:id="9"/>
      </w:r>
      <w:r w:rsidRPr="000D2197">
        <w:t xml:space="preserve"> Сергиевским ТУ не размещен в единой информационной системе</w:t>
      </w:r>
      <w:r w:rsidR="00A77442">
        <w:t xml:space="preserve"> </w:t>
      </w:r>
      <w:r w:rsidRPr="000D2197">
        <w:t>Отчет об объеме закупок у субъектов малого предпринимательства и социально ориентированных некоммерческих организаций за 2021 год.</w:t>
      </w:r>
    </w:p>
    <w:p w:rsidR="000D2197" w:rsidRPr="000D2197" w:rsidRDefault="000D2197" w:rsidP="00A77442">
      <w:pPr>
        <w:pStyle w:val="a5"/>
      </w:pPr>
      <w:r w:rsidRPr="000D2197">
        <w:t>В нарушение требований законодательства о закупках</w:t>
      </w:r>
      <w:r w:rsidRPr="000D2197">
        <w:rPr>
          <w:vertAlign w:val="superscript"/>
        </w:rPr>
        <w:footnoteReference w:id="10"/>
      </w:r>
      <w:r w:rsidRPr="000D2197">
        <w:t xml:space="preserve"> Сергиевским ТУ не размещен в ЕИС Закупки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за 2021 отчетный год.</w:t>
      </w:r>
    </w:p>
    <w:p w:rsidR="000D2197" w:rsidRPr="000D2197" w:rsidRDefault="000D2197" w:rsidP="00A77442">
      <w:pPr>
        <w:pStyle w:val="a0"/>
      </w:pPr>
      <w:proofErr w:type="spellStart"/>
      <w:r w:rsidRPr="000D2197">
        <w:t>Неразмещение</w:t>
      </w:r>
      <w:proofErr w:type="spellEnd"/>
      <w:r w:rsidRPr="000D2197">
        <w:t xml:space="preserve">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 (одно нарушение не имеющие стоимостной оценки):</w:t>
      </w:r>
    </w:p>
    <w:p w:rsidR="000D2197" w:rsidRPr="000D2197" w:rsidRDefault="000D2197" w:rsidP="00A77442">
      <w:pPr>
        <w:pStyle w:val="a5"/>
      </w:pPr>
      <w:r w:rsidRPr="000D2197">
        <w:lastRenderedPageBreak/>
        <w:t>В нарушение законодательства о закупках</w:t>
      </w:r>
      <w:r w:rsidRPr="000D2197">
        <w:rPr>
          <w:vertAlign w:val="superscript"/>
        </w:rPr>
        <w:footnoteReference w:id="11"/>
      </w:r>
      <w:r w:rsidR="00A77442">
        <w:t xml:space="preserve"> </w:t>
      </w:r>
      <w:r w:rsidRPr="000D2197">
        <w:t>Сергиевским ТУ в анализируемом периоде требования к закупаемым Сергиевским ТУ и подведомственными ему учреждениями отдельным видам товаров, работ, услуг не утверждались, и соответственно, не размещались в единой информационной системе.</w:t>
      </w:r>
    </w:p>
    <w:p w:rsidR="000D2197" w:rsidRPr="000D2197" w:rsidRDefault="000D2197" w:rsidP="00A77442">
      <w:pPr>
        <w:pStyle w:val="a0"/>
      </w:pPr>
      <w:r w:rsidRPr="000D2197">
        <w:t>Иные нарушения – 7,79 тыс. рублей (одно нарушение):</w:t>
      </w:r>
    </w:p>
    <w:p w:rsidR="000D2197" w:rsidRPr="000D2197" w:rsidRDefault="000D2197" w:rsidP="00A77442">
      <w:pPr>
        <w:pStyle w:val="a5"/>
      </w:pPr>
      <w:r w:rsidRPr="000D2197">
        <w:t>При проверке правильности применения норм, расценок и коэффициентов при определении сметной стоимости объекта «Ремонт тротуара по ул. Ленина (подъезд к МТФ-1) (от ул. Карла Маркса)) в селе Сергиевском Грачевского округа Ставропольского края» установлено следующее:</w:t>
      </w:r>
    </w:p>
    <w:p w:rsidR="000D2197" w:rsidRPr="000D2197" w:rsidRDefault="000D2197" w:rsidP="00A77442">
      <w:pPr>
        <w:pStyle w:val="20"/>
      </w:pPr>
      <w:r w:rsidRPr="000D2197">
        <w:t xml:space="preserve">в нарушении п. 4.7 Методики определения стоимости строительной продукции на территории Российской Федерации, утвержденной Постановление Госстроя России от 05.03.2004 № 15/1, Письма </w:t>
      </w:r>
      <w:proofErr w:type="spellStart"/>
      <w:r w:rsidRPr="000D2197">
        <w:t>Минрегиона</w:t>
      </w:r>
      <w:proofErr w:type="spellEnd"/>
      <w:r w:rsidRPr="000D2197">
        <w:t xml:space="preserve"> РФ от 29.06.2011 № 14093-08/ИП-ОГ к позиции 5 «Устройство металлических пешеходных ограждений (демонтаж)» применены коэффициенты 1,15 к нормам затрат труда и 1,25 к нормам времени эксплуатации строительных машин при реконструкции и выполнении ремонтных работ, в результате чего завышена стоимость работ на 572,00 рубля.</w:t>
      </w:r>
    </w:p>
    <w:p w:rsidR="000D2197" w:rsidRPr="000D2197" w:rsidRDefault="000D2197" w:rsidP="00A77442">
      <w:pPr>
        <w:pStyle w:val="20"/>
      </w:pPr>
      <w:r w:rsidRPr="000D2197">
        <w:t>в нарушение</w:t>
      </w:r>
      <w:r w:rsidR="00A77442">
        <w:t xml:space="preserve"> </w:t>
      </w:r>
      <w:r w:rsidRPr="000D2197">
        <w:t>примечания 1 к приложению 4 «МДС 81-33.2004 Методические указания по определению величины накладных расходов в строительстве» (утв. Постановлением Госстроя РФ от 12.01.2004 № 6) (ред. от 23.07.2004, с изм. от 17.03.2011) в позициях 2, 5, 15-17, 19, 23, 24, 26, 27, 29, 31, 34, 39, 43, 47 не применен коэффициент 0,9, в результате чего завышены накладные расходы на 7 215,05 рублей.</w:t>
      </w:r>
    </w:p>
    <w:p w:rsidR="000D2197" w:rsidRPr="000D2197" w:rsidRDefault="000D2197" w:rsidP="00A77442">
      <w:pPr>
        <w:pStyle w:val="a5"/>
      </w:pPr>
      <w:r w:rsidRPr="000D2197">
        <w:t>Незаконное применение норм, расценок и коэффициентов при определении сметной стоимости объекта «Ремонт тротуара по ул. Ленина (подъезд к МТФ-1) (от ул. Карла Маркса)) в селе Сергиевском Грачевского округа Ставропольского края» привело к необоснованному удорожанию сметной стоимости объекта и соответственно завышению цены контракта на сумму 7 787,05 рублей (572,00+7215,05).</w:t>
      </w:r>
    </w:p>
    <w:p w:rsidR="000D2197" w:rsidRPr="000D2197" w:rsidRDefault="000D2197" w:rsidP="00A77442">
      <w:pPr>
        <w:pStyle w:val="2"/>
      </w:pPr>
      <w:r w:rsidRPr="000D2197">
        <w:t xml:space="preserve">Проверка законности, результативности (эффективности и экономности) использования средств бюджета Грачевского муниципального округа, выделенных Кугультинскому территориальному управлению администрации Грачевского муниципального округа </w:t>
      </w:r>
      <w:r w:rsidRPr="000D2197">
        <w:lastRenderedPageBreak/>
        <w:t>Ставропольского края на реализацию проектов развития территорий муниципальных образований Ставропольского края, основанных на местных инициативах в 2021 году. Аудит в сфере закупок для обеспечения муниципальных нужд Кугультинского территориального управления администрации Грачевского муниципального округа Ставропольского края за 2021 год и истекший период 2022 года.</w:t>
      </w:r>
    </w:p>
    <w:p w:rsidR="000D2197" w:rsidRPr="000D2197" w:rsidRDefault="000D2197" w:rsidP="00A77442">
      <w:pPr>
        <w:pStyle w:val="a5"/>
        <w:rPr>
          <w:i/>
          <w:color w:val="FF0000"/>
        </w:rPr>
      </w:pPr>
      <w:r w:rsidRPr="000D2197">
        <w:t xml:space="preserve">Объем проверенных средств составил 12 106,54 тыс. рублей. </w:t>
      </w:r>
    </w:p>
    <w:p w:rsidR="000D2197" w:rsidRPr="000D2197" w:rsidRDefault="000D2197" w:rsidP="00A77442">
      <w:pPr>
        <w:pStyle w:val="a5"/>
      </w:pPr>
      <w:r w:rsidRPr="000D2197">
        <w:t>В ходе проверки были выявлены нарушения Федерального закон от 05.04.2013 № 44-ФЗ "О контрактной системе в сфере закупок товаров, работ, услуг для обеспечения государственных и муниципальных нужд", иные нарушения</w:t>
      </w:r>
    </w:p>
    <w:p w:rsidR="000D2197" w:rsidRPr="000D2197" w:rsidRDefault="000D2197" w:rsidP="00A77442">
      <w:pPr>
        <w:pStyle w:val="a5"/>
      </w:pPr>
      <w:r w:rsidRPr="000D2197">
        <w:t>Всего в ходе проверки выявлено 2 нарушения финансовой дисциплины на общую сумму 383,63 тыс. рублей, а также 63 факта нарушений требований законодательства о закупках, не имеющих стоимостной оценки в том числе:</w:t>
      </w:r>
    </w:p>
    <w:p w:rsidR="000D2197" w:rsidRPr="000D2197" w:rsidRDefault="000D2197" w:rsidP="00A77442">
      <w:pPr>
        <w:pStyle w:val="a0"/>
      </w:pPr>
      <w:r w:rsidRPr="000D2197">
        <w:t>Нарушение порядка применения бюджетной классификации Российской Федерации (одно нарушение имеющее стоимостной оценки):</w:t>
      </w:r>
    </w:p>
    <w:p w:rsidR="000D2197" w:rsidRPr="000D2197" w:rsidRDefault="000D2197" w:rsidP="000D2197">
      <w:pPr>
        <w:widowControl w:val="0"/>
        <w:spacing w:after="0" w:line="240" w:lineRule="auto"/>
        <w:ind w:firstLine="709"/>
        <w:jc w:val="both"/>
        <w:rPr>
          <w:rFonts w:ascii="Times New Roman" w:eastAsiaTheme="minorHAnsi" w:hAnsi="Times New Roman" w:cs="Times New Roman"/>
          <w:sz w:val="28"/>
          <w:szCs w:val="28"/>
          <w:lang w:eastAsia="en-US"/>
        </w:rPr>
      </w:pPr>
      <w:r w:rsidRPr="000D2197">
        <w:rPr>
          <w:rFonts w:ascii="Times New Roman" w:eastAsiaTheme="minorHAnsi" w:hAnsi="Times New Roman" w:cs="Times New Roman"/>
          <w:sz w:val="28"/>
          <w:szCs w:val="28"/>
          <w:lang w:eastAsia="en-US"/>
        </w:rPr>
        <w:t>При оплате услуг по осуществлению строительного контроля Кугультинским ТУ была нарушена методология применения бюджетной классификации Российской Федерации, а именно: расходы за счет средств бюджета Грачевского муниципального округа на сумму 36 618,50 рублей были произведены по КОСГУ 225 "Работы, услуги по содержанию имущества", что является нарушением требований, установленных разделом II Порядка применения классификации операций сектора государственного управления, утвержденного приказом Министерства финансов Российской Федерации от 29 ноября 2017 г. № 209н. Данные расходы следовало произвести по КОСГУ 226 "Прочие работы, услуги".</w:t>
      </w:r>
    </w:p>
    <w:p w:rsidR="000D2197" w:rsidRPr="000D2197" w:rsidRDefault="000D2197" w:rsidP="00A77442">
      <w:pPr>
        <w:pStyle w:val="a0"/>
      </w:pPr>
      <w:r w:rsidRPr="000D2197">
        <w:t>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47,63 тыс. рублей:</w:t>
      </w:r>
    </w:p>
    <w:p w:rsidR="000D2197" w:rsidRPr="000D2197" w:rsidRDefault="000D2197" w:rsidP="00A77442">
      <w:pPr>
        <w:pStyle w:val="a5"/>
      </w:pPr>
      <w:r w:rsidRPr="000D2197">
        <w:t xml:space="preserve">В ходе визуального осмотра и контрольного обмера, проведенного в рамках контрольного мероприятия, установлено, что в ходе выполнения работ по благоустройству прилегающей территории к памятнику «Братская могила воинов Советской армии, погибших при освобождении села» Кугультинским ТУ были приняты и оплачены работы по устройству покрытий из тротуарной плитки в объемах, превышающих фактически выполненные на 29,64 </w:t>
      </w:r>
      <w:r w:rsidR="00180D70">
        <w:t xml:space="preserve"> </w:t>
      </w:r>
      <w:proofErr w:type="spellStart"/>
      <w:r w:rsidR="00180D70">
        <w:t>кв.м</w:t>
      </w:r>
      <w:proofErr w:type="spellEnd"/>
      <w:r w:rsidR="00180D70">
        <w:t>.</w:t>
      </w:r>
    </w:p>
    <w:p w:rsidR="000D2197" w:rsidRPr="000D2197" w:rsidRDefault="000D2197" w:rsidP="00A77442">
      <w:pPr>
        <w:pStyle w:val="a5"/>
      </w:pPr>
      <w:r w:rsidRPr="000D2197">
        <w:lastRenderedPageBreak/>
        <w:t>Таким образом, было выявлено неправомерное расходование бюджетных средств, выразившееся в оплате невыполненных работ по устройству покрытий из тротуарной плитки на общую сумму 47 630,00 рублей.</w:t>
      </w:r>
    </w:p>
    <w:p w:rsidR="000D2197" w:rsidRPr="000D2197" w:rsidRDefault="000D2197" w:rsidP="00A77442">
      <w:pPr>
        <w:pStyle w:val="a0"/>
      </w:pPr>
      <w:r w:rsidRPr="000D2197">
        <w:t>Нарушения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 (одно нарушение не имеющие стоимостной оценки):</w:t>
      </w:r>
    </w:p>
    <w:p w:rsidR="000D2197" w:rsidRPr="000D2197" w:rsidRDefault="000D2197" w:rsidP="00A77442">
      <w:pPr>
        <w:pStyle w:val="a5"/>
      </w:pPr>
      <w:r w:rsidRPr="000D2197">
        <w:t xml:space="preserve">Объем прав в денежном выражении на принятие и (или) исполнение обязательств был доведен Кугультинскому ТУ 30 декабря 2020 года. При этом План-график закупок товаров, работ, услуг на 2021 финансовый год и на плановый период 2022 и 2023 годов первоначально был размещен Кугультинским ТУ в ЕИС Закупки 28 января 2021 года. </w:t>
      </w:r>
    </w:p>
    <w:p w:rsidR="000D2197" w:rsidRPr="000D2197" w:rsidRDefault="000D2197" w:rsidP="00A77442">
      <w:pPr>
        <w:pStyle w:val="a5"/>
      </w:pPr>
      <w:r w:rsidRPr="000D2197">
        <w:t>Таким образом, план-график на 2021 год утвержден и размещен Кугультинским ТУ с нарушением установленного срока на 4 рабочих дня.</w:t>
      </w:r>
    </w:p>
    <w:p w:rsidR="000D2197" w:rsidRPr="000D2197" w:rsidRDefault="000D2197" w:rsidP="00A77442">
      <w:pPr>
        <w:pStyle w:val="a0"/>
      </w:pPr>
      <w:r w:rsidRPr="000D2197">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(44 нарушения не имеющих стоимостной оценки):</w:t>
      </w:r>
    </w:p>
    <w:p w:rsidR="000D2197" w:rsidRPr="000D2197" w:rsidRDefault="000D2197" w:rsidP="00A77442">
      <w:pPr>
        <w:pStyle w:val="a5"/>
      </w:pPr>
      <w:r w:rsidRPr="000D2197">
        <w:t>Согласно ч. 1 ст. 16 Закона 44-ФЗ закупки, не предусмотренные планами-графиками, не могут быть осуществлены. При этом Кугультинским ТУ:</w:t>
      </w:r>
    </w:p>
    <w:p w:rsidR="000D2197" w:rsidRPr="000D2197" w:rsidRDefault="000D2197" w:rsidP="00A77442">
      <w:pPr>
        <w:pStyle w:val="20"/>
      </w:pPr>
      <w:r w:rsidRPr="000D2197">
        <w:t>до размещения в ЕИС Закупки плана-графика на 2021 год было заключено 28 договоров (контрактов) на общую сумму 281 804,32 рублей;</w:t>
      </w:r>
    </w:p>
    <w:p w:rsidR="000D2197" w:rsidRPr="000D2197" w:rsidRDefault="000D2197" w:rsidP="00A77442">
      <w:pPr>
        <w:pStyle w:val="20"/>
      </w:pPr>
      <w:r w:rsidRPr="000D2197">
        <w:t>до размещения в ЕИС Закупки плана-графика на 2022 год был заключен 1 договор (контракт) на общую сумму 11 811,29 рублей.</w:t>
      </w:r>
    </w:p>
    <w:p w:rsidR="000D2197" w:rsidRPr="000D2197" w:rsidRDefault="000D2197" w:rsidP="00A77442">
      <w:pPr>
        <w:pStyle w:val="a5"/>
      </w:pPr>
      <w:r w:rsidRPr="000D2197">
        <w:t>В ходе контрольного мероприятия установлено, что Кугультинским ТУ в 2022 году приобретен объект недвижимого имущества (контракт № 1 от 05.09.2022 на сумму 599 990,00 рублей). Однако в нарушение пп. «а» п. 18 Порядка № 1279 информация о планировании Кугультинским ТУ осуществить закупку по результатам которой будет заключен контракт, предметом которого являются приобретение объектов недвижимого имущества отсутствует в плане-графике на 2022 год.</w:t>
      </w:r>
    </w:p>
    <w:p w:rsidR="000D2197" w:rsidRPr="000D2197" w:rsidRDefault="000D2197" w:rsidP="00A77442">
      <w:pPr>
        <w:pStyle w:val="a5"/>
      </w:pPr>
      <w:r w:rsidRPr="000D2197">
        <w:t>В 2022 году Учреждением в соответствии с п. 11 ч.</w:t>
      </w:r>
      <w:r w:rsidR="00A77442">
        <w:t xml:space="preserve"> </w:t>
      </w:r>
      <w:r w:rsidRPr="000D2197">
        <w:t>1 ст. 93 Закона № 44-ФЗ с ФКУ "Исправительная колония № 2 УФСИН по СК" заключен контракт № 1 на поставку лавочки и урны на сумму 5 000,00 рублей. При этом в нарушение п. 7 Порядка № 1279 информация о планировании Управлением осуществить данную закупку отсутствует в плане-графике на 2022 год.</w:t>
      </w:r>
    </w:p>
    <w:p w:rsidR="000D2197" w:rsidRPr="000D2197" w:rsidRDefault="000D2197" w:rsidP="00A77442">
      <w:pPr>
        <w:pStyle w:val="a5"/>
      </w:pPr>
      <w:r w:rsidRPr="000D2197">
        <w:t xml:space="preserve">Также установлено, что Управлением в истекшем периоде 2022 года заключались контракты на основании п. 4 ч. 1 </w:t>
      </w:r>
      <w:r w:rsidR="00180D70">
        <w:t xml:space="preserve">ст. 93 Закона № 44-ФЗ (всего </w:t>
      </w:r>
      <w:r w:rsidR="00180D70">
        <w:lastRenderedPageBreak/>
        <w:t>13 </w:t>
      </w:r>
      <w:r w:rsidRPr="000D2197">
        <w:t>контрактов на общую сумму 1 569 044,17 рублей). При этом в нарушение пп. «г» п. 18 Порядка № 1279 информация о планировании Управлением осуществить закупки в соответствии с п. 4 ч. 1 ст. 93 Закона 44-ФЗ</w:t>
      </w:r>
      <w:r w:rsidR="00A77442">
        <w:t xml:space="preserve"> </w:t>
      </w:r>
      <w:r w:rsidRPr="000D2197">
        <w:t>отсутствует в плане-графике на 2022 год.</w:t>
      </w:r>
    </w:p>
    <w:p w:rsidR="000D2197" w:rsidRPr="000D2197" w:rsidRDefault="000D2197" w:rsidP="00A77442">
      <w:pPr>
        <w:pStyle w:val="a0"/>
      </w:pPr>
      <w:r w:rsidRPr="000D2197">
        <w:t>Непредставление (</w:t>
      </w:r>
      <w:proofErr w:type="spellStart"/>
      <w:r w:rsidRPr="000D2197">
        <w:t>ненаправление</w:t>
      </w:r>
      <w:proofErr w:type="spellEnd"/>
      <w:r w:rsidRPr="000D2197">
        <w:t>), несвоевременное представление (направление) информации (сведений) и (или) документов, подлежащих включению в реестр контрактов, заключенных заказчиками, реестр контрактов, содержащий сведения, составляющие государственную тайну, реестр недобросовестных поставщиков (подрядчиков, исполнителей) или представление (направление) недостоверной информации (сведений) и (или) документов, содержащих недостоверную информацию (2 нарушения не имеющих стоимостной оценки):</w:t>
      </w:r>
    </w:p>
    <w:p w:rsidR="000D2197" w:rsidRPr="000D2197" w:rsidRDefault="000D2197" w:rsidP="00A77442">
      <w:pPr>
        <w:pStyle w:val="a5"/>
      </w:pPr>
      <w:r w:rsidRPr="000D2197">
        <w:t>В ходе проверки сведений, содержащихся в едином реестре государственных и муниципальных контрактов в ЕИС Закупки, установлено нарушение требований законодательства о закупках</w:t>
      </w:r>
      <w:r w:rsidRPr="000D2197">
        <w:rPr>
          <w:vertAlign w:val="superscript"/>
        </w:rPr>
        <w:footnoteReference w:id="12"/>
      </w:r>
      <w:r w:rsidRPr="000D2197">
        <w:t>, выразившееся в отсутствии информации о заключении и об исполнении 2-х муниципальных контрактов на общую сумму 119 748,971 рублей.</w:t>
      </w:r>
    </w:p>
    <w:p w:rsidR="000D2197" w:rsidRPr="000D2197" w:rsidRDefault="000D2197" w:rsidP="00A77442">
      <w:pPr>
        <w:pStyle w:val="a0"/>
      </w:pPr>
      <w:proofErr w:type="spellStart"/>
      <w:r w:rsidRPr="000D2197">
        <w:t>Невключение</w:t>
      </w:r>
      <w:proofErr w:type="spellEnd"/>
      <w:r w:rsidRPr="000D2197">
        <w:t xml:space="preserve"> в контракт (договор) обязательных условий (11</w:t>
      </w:r>
      <w:r w:rsidR="00180D70">
        <w:t> </w:t>
      </w:r>
      <w:r w:rsidRPr="000D2197">
        <w:t>нарушения не имеющих стоимостной оценки):</w:t>
      </w:r>
    </w:p>
    <w:p w:rsidR="000D2197" w:rsidRPr="000D2197" w:rsidRDefault="000D2197" w:rsidP="00A77442">
      <w:pPr>
        <w:pStyle w:val="a5"/>
      </w:pPr>
      <w:r w:rsidRPr="000D2197">
        <w:t>В ходе контрольного мероприятия установлено, что в нарушение ч. 1 ст. 23 Закона № 44-ФЗ в 2-х контрактах не указаны идентификационные коды закупки.</w:t>
      </w:r>
    </w:p>
    <w:p w:rsidR="000D2197" w:rsidRPr="000D2197" w:rsidRDefault="000D2197" w:rsidP="00A77442">
      <w:pPr>
        <w:pStyle w:val="a5"/>
      </w:pPr>
      <w:r w:rsidRPr="000D2197">
        <w:t>Также в ходе проверки установлено, что в нарушение ч. 13.1 ст. 34 Закона № 44-ФЗ допускались случаи заключения договоров с единственным поставщиком на основании п. 4 ч.1 ст. 93 Закона № 44-ФЗ, содержащих условия о сроках оплаты товара, работы или услуги, превышающих 10 дней с даты подписания документа о приемке (9 договор на сумму 207 619,48 рублей).</w:t>
      </w:r>
    </w:p>
    <w:p w:rsidR="000D2197" w:rsidRPr="000D2197" w:rsidRDefault="000D2197" w:rsidP="00A77442">
      <w:pPr>
        <w:pStyle w:val="a0"/>
      </w:pPr>
      <w:r w:rsidRPr="000D2197">
        <w:t>Нарушения при выборе такого способа определения поставщика (подрядчика, исполнителя), как закупка у единственного поставщика (подрядчика, исполнителя), и при осуществлении такой закупки – 336,00 тыс. рублей:</w:t>
      </w:r>
    </w:p>
    <w:p w:rsidR="000D2197" w:rsidRPr="000D2197" w:rsidRDefault="000D2197" w:rsidP="00A77442">
      <w:pPr>
        <w:pStyle w:val="a5"/>
      </w:pPr>
      <w:r w:rsidRPr="000D2197">
        <w:t>В ходе выборочного аудита обоснования и законности выбора способа определения поставщика (подрядчика, исполнителя) при закупке у единственного поставщика (подрядчика, исполнителя) установлено, что Кугультинским ТУ в 2022 году был заключен договор на основании п. 4 ч. 1 ст. 93 Закона № 44-ФЗ с ПАО «</w:t>
      </w:r>
      <w:proofErr w:type="spellStart"/>
      <w:r w:rsidRPr="000D2197">
        <w:t>Ставропольэнергосбыт</w:t>
      </w:r>
      <w:proofErr w:type="spellEnd"/>
      <w:r w:rsidRPr="000D2197">
        <w:t xml:space="preserve">» на общую сумму 936 000,00 рублей (договор № 513702 от 12.01.2022). Исходя из положений </w:t>
      </w:r>
      <w:r w:rsidRPr="000D2197">
        <w:lastRenderedPageBreak/>
        <w:t>вышеуказанной статьи</w:t>
      </w:r>
      <w:r w:rsidRPr="000D2197">
        <w:rPr>
          <w:vertAlign w:val="superscript"/>
        </w:rPr>
        <w:footnoteReference w:id="13"/>
      </w:r>
      <w:r w:rsidRPr="000D2197">
        <w:t>, данная закупка совершена Кугультинским ТУ с превышением максимально допустимой суммы по основаниям, установленным вышеуказанной статьей, на 336 000,00 рублей.</w:t>
      </w:r>
    </w:p>
    <w:p w:rsidR="000D2197" w:rsidRPr="000D2197" w:rsidRDefault="000D2197" w:rsidP="00A77442">
      <w:pPr>
        <w:pStyle w:val="a0"/>
      </w:pPr>
      <w:proofErr w:type="spellStart"/>
      <w:r w:rsidRPr="000D2197">
        <w:t>Неразмещение</w:t>
      </w:r>
      <w:proofErr w:type="spellEnd"/>
      <w:r w:rsidRPr="000D2197">
        <w:t xml:space="preserve"> или размещение с нарушением срока в единой информационной системе в сфере закупок информации о закупке, размещение которой предусмотрено законодательством Российской Федерации о закупках товаров, работ, услуг отдельными видами юридических лиц (2 нарушения не имеющих стоимостной оценки):</w:t>
      </w:r>
    </w:p>
    <w:p w:rsidR="000D2197" w:rsidRPr="000D2197" w:rsidRDefault="000D2197" w:rsidP="00A77442">
      <w:pPr>
        <w:pStyle w:val="a5"/>
      </w:pPr>
      <w:r w:rsidRPr="000D2197">
        <w:t>В нарушение требований законодательства о закупках</w:t>
      </w:r>
      <w:r w:rsidRPr="000D2197">
        <w:rPr>
          <w:vertAlign w:val="superscript"/>
        </w:rPr>
        <w:footnoteReference w:id="14"/>
      </w:r>
      <w:r w:rsidRPr="000D2197">
        <w:t xml:space="preserve"> Кугультинским</w:t>
      </w:r>
      <w:r w:rsidR="00180D70">
        <w:t xml:space="preserve"> </w:t>
      </w:r>
      <w:r w:rsidRPr="000D2197">
        <w:t>ТУ не размещен в ЕИС Закупки</w:t>
      </w:r>
      <w:r w:rsidR="00A77442">
        <w:t xml:space="preserve"> </w:t>
      </w:r>
      <w:r w:rsidRPr="000D2197">
        <w:t>Отчет об объеме закупок у субъектов малого предпринимательства и социально ориентированных некоммерческих организаций за 2021 год.</w:t>
      </w:r>
    </w:p>
    <w:p w:rsidR="000D2197" w:rsidRPr="000D2197" w:rsidRDefault="000D2197" w:rsidP="00A77442">
      <w:pPr>
        <w:pStyle w:val="a5"/>
      </w:pPr>
      <w:r w:rsidRPr="000D2197">
        <w:t>В нарушение требований законодательства о закупках</w:t>
      </w:r>
      <w:r w:rsidRPr="000D2197">
        <w:rPr>
          <w:vertAlign w:val="superscript"/>
        </w:rPr>
        <w:footnoteReference w:id="15"/>
      </w:r>
      <w:r w:rsidR="00A77442">
        <w:t xml:space="preserve"> </w:t>
      </w:r>
      <w:r w:rsidR="00180D70">
        <w:t xml:space="preserve">Кугультинским </w:t>
      </w:r>
      <w:r w:rsidRPr="000D2197">
        <w:t>ТУ не размещен в ЕИС Закупки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закупок которых установлены ограничения допуска товаров, происходящих из иностранных государств, за 2021 отчетный год.</w:t>
      </w:r>
    </w:p>
    <w:p w:rsidR="000D2197" w:rsidRPr="000D2197" w:rsidRDefault="000D2197" w:rsidP="00A77442">
      <w:pPr>
        <w:pStyle w:val="a0"/>
      </w:pPr>
      <w:r w:rsidRPr="000D2197">
        <w:t>Нарушения при нормировании в сфере закупок (2 нарушения не имеющих стоимостной оценки):</w:t>
      </w:r>
    </w:p>
    <w:p w:rsidR="000D2197" w:rsidRPr="000D2197" w:rsidRDefault="000D2197" w:rsidP="00A77442">
      <w:pPr>
        <w:pStyle w:val="a5"/>
      </w:pPr>
      <w:r w:rsidRPr="000D2197">
        <w:t>В ходе контрольного мероприятия Контрольно-счетной комиссией установлены случаи превышения Кугультинским ТУ утвержденных нормативных затрат, как в количественном, так и в стоимостном выражении.</w:t>
      </w:r>
    </w:p>
    <w:p w:rsidR="000D2197" w:rsidRPr="000D2197" w:rsidRDefault="000D2197" w:rsidP="00A77442">
      <w:pPr>
        <w:pStyle w:val="a5"/>
      </w:pPr>
      <w:r w:rsidRPr="000D2197">
        <w:t xml:space="preserve">Закупка сверх утвержденных Нормативных затрат привела к перерасходу бюджетных средств на общую сумму 9 059,00 рублей. При этом следует отметить, что общий объем затрат Кугультинского ТУ, связанных с закупкой товаров, работ, услуг, не превысил объем доведенных Кугультинскому ТУ лимитов бюджетных обязательств на закупку товаров, работ, услуг в рамках </w:t>
      </w:r>
      <w:r w:rsidRPr="000D2197">
        <w:lastRenderedPageBreak/>
        <w:t>исполнения местного бюджета.</w:t>
      </w:r>
    </w:p>
    <w:p w:rsidR="003E1BAB" w:rsidRPr="002F6538" w:rsidRDefault="003E1BAB" w:rsidP="00A77442">
      <w:pPr>
        <w:pStyle w:val="1"/>
      </w:pPr>
      <w:r w:rsidRPr="002F6538">
        <w:t>Итоги экспертно-аналитической деятельности</w:t>
      </w:r>
    </w:p>
    <w:p w:rsidR="003B486E" w:rsidRPr="003B486E" w:rsidRDefault="003B486E" w:rsidP="00223A78">
      <w:pPr>
        <w:pStyle w:val="a5"/>
      </w:pPr>
      <w:r w:rsidRPr="003B486E">
        <w:t>Основная задача Контрольно-счетной комиссии при осуществлении экспертно-аналитической деятельности - обеспечение и развитие единой системы контроля за формированием и исполнением бюджета Грачевского муниципального округа, осуществляемой в рамках полномочий Контрольно-счетной комиссии.</w:t>
      </w:r>
    </w:p>
    <w:p w:rsidR="003B486E" w:rsidRPr="003B486E" w:rsidRDefault="003B486E" w:rsidP="00223A78">
      <w:pPr>
        <w:pStyle w:val="a5"/>
      </w:pPr>
      <w:r w:rsidRPr="003B486E">
        <w:t>В 202</w:t>
      </w:r>
      <w:r w:rsidR="00A50AB8">
        <w:t>2</w:t>
      </w:r>
      <w:r w:rsidRPr="003B486E">
        <w:t xml:space="preserve"> году в рамках экспертно-аналитической деятельности проводился предварительный, оперативный и последующий контрол</w:t>
      </w:r>
      <w:r w:rsidR="00A50AB8">
        <w:t>и</w:t>
      </w:r>
      <w:r w:rsidRPr="003B486E">
        <w:t xml:space="preserve"> за формированием и исполнением бюджета Грачевского муниципального округа</w:t>
      </w:r>
      <w:r w:rsidR="00A77442">
        <w:t xml:space="preserve"> </w:t>
      </w:r>
      <w:r w:rsidRPr="003B486E">
        <w:t xml:space="preserve">(далее – бюджет муниципального округа), </w:t>
      </w:r>
      <w:r w:rsidR="00AF2B70">
        <w:t xml:space="preserve">анализ </w:t>
      </w:r>
      <w:r w:rsidR="00AF2B70" w:rsidRPr="00AF2B70">
        <w:t>поступивших на экспертизу законопроектов</w:t>
      </w:r>
      <w:r w:rsidR="00AF2B70">
        <w:t xml:space="preserve"> </w:t>
      </w:r>
      <w:r w:rsidR="00AF2B70" w:rsidRPr="00AF2B70">
        <w:t>и иных нормативных правовых актов</w:t>
      </w:r>
      <w:r w:rsidRPr="003B486E">
        <w:t>, затрагивающих финансово-бюджетную сферу.</w:t>
      </w:r>
    </w:p>
    <w:p w:rsidR="003B486E" w:rsidRPr="003B486E" w:rsidRDefault="003B486E" w:rsidP="00223A78">
      <w:pPr>
        <w:pStyle w:val="a5"/>
      </w:pPr>
      <w:r w:rsidRPr="003B486E">
        <w:t>Результаты экспертно-аналитической деятельности за 202</w:t>
      </w:r>
      <w:r w:rsidR="00A50AB8">
        <w:t>2</w:t>
      </w:r>
      <w:r w:rsidRPr="003B486E">
        <w:t xml:space="preserve"> год представлены в таблице:</w:t>
      </w:r>
      <w:r w:rsidR="00A77442">
        <w:t xml:space="preserve"> </w:t>
      </w:r>
    </w:p>
    <w:p w:rsidR="003B486E" w:rsidRPr="00223A78" w:rsidRDefault="00A77442" w:rsidP="00223A78">
      <w:pPr>
        <w:widowControl w:val="0"/>
        <w:spacing w:after="0" w:line="240" w:lineRule="auto"/>
        <w:ind w:right="-1" w:firstLine="708"/>
        <w:jc w:val="right"/>
        <w:rPr>
          <w:rFonts w:ascii="Times New Roman" w:hAnsi="Times New Roman" w:cs="Times New Roman"/>
          <w:sz w:val="24"/>
          <w:szCs w:val="24"/>
        </w:rPr>
      </w:pPr>
      <w:r w:rsidRPr="00223A78">
        <w:rPr>
          <w:rFonts w:ascii="Times New Roman" w:hAnsi="Times New Roman" w:cs="Times New Roman"/>
          <w:sz w:val="24"/>
          <w:szCs w:val="24"/>
        </w:rPr>
        <w:t xml:space="preserve"> </w:t>
      </w:r>
      <w:r w:rsidR="003B486E" w:rsidRPr="00223A78">
        <w:rPr>
          <w:rFonts w:ascii="Times New Roman" w:hAnsi="Times New Roman" w:cs="Times New Roman"/>
          <w:sz w:val="24"/>
          <w:szCs w:val="24"/>
        </w:rPr>
        <w:t>(количество единиц)</w:t>
      </w:r>
    </w:p>
    <w:tbl>
      <w:tblPr>
        <w:tblW w:w="5000" w:type="pct"/>
        <w:tblCellMar>
          <w:left w:w="57" w:type="dxa"/>
          <w:right w:w="57" w:type="dxa"/>
        </w:tblCellMar>
        <w:tblLook w:val="04A0" w:firstRow="1" w:lastRow="0" w:firstColumn="1" w:lastColumn="0" w:noHBand="0" w:noVBand="1"/>
      </w:tblPr>
      <w:tblGrid>
        <w:gridCol w:w="7772"/>
        <w:gridCol w:w="1980"/>
      </w:tblGrid>
      <w:tr w:rsidR="00B70609" w:rsidRPr="003B486E" w:rsidTr="00223A78">
        <w:trPr>
          <w:trHeight w:val="20"/>
        </w:trPr>
        <w:tc>
          <w:tcPr>
            <w:tcW w:w="7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609" w:rsidRPr="003B486E" w:rsidRDefault="00B70609" w:rsidP="003B486E">
            <w:pPr>
              <w:widowControl w:val="0"/>
              <w:suppressAutoHyphens w:val="0"/>
              <w:spacing w:after="0" w:line="240" w:lineRule="auto"/>
              <w:jc w:val="center"/>
              <w:rPr>
                <w:rFonts w:ascii="Times New Roman" w:eastAsia="Times New Roman" w:hAnsi="Times New Roman" w:cs="Times New Roman"/>
                <w:b/>
                <w:color w:val="000000"/>
                <w:sz w:val="28"/>
                <w:szCs w:val="28"/>
              </w:rPr>
            </w:pPr>
            <w:r w:rsidRPr="003B486E">
              <w:rPr>
                <w:rFonts w:ascii="Times New Roman" w:eastAsia="Times New Roman" w:hAnsi="Times New Roman" w:cs="Times New Roman"/>
                <w:b/>
                <w:color w:val="000000"/>
                <w:sz w:val="28"/>
                <w:szCs w:val="28"/>
              </w:rPr>
              <w:t>Наименование показателя</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B70609" w:rsidP="00A50AB8">
            <w:pPr>
              <w:widowControl w:val="0"/>
              <w:suppressAutoHyphens w:val="0"/>
              <w:spacing w:after="0" w:line="240" w:lineRule="auto"/>
              <w:jc w:val="center"/>
              <w:rPr>
                <w:rFonts w:ascii="Times New Roman" w:eastAsia="Times New Roman" w:hAnsi="Times New Roman" w:cs="Times New Roman"/>
                <w:b/>
                <w:color w:val="000000"/>
                <w:sz w:val="28"/>
                <w:szCs w:val="28"/>
              </w:rPr>
            </w:pPr>
            <w:r w:rsidRPr="003B486E">
              <w:rPr>
                <w:rFonts w:ascii="Times New Roman" w:eastAsia="Times New Roman" w:hAnsi="Times New Roman" w:cs="Times New Roman"/>
                <w:b/>
                <w:color w:val="000000"/>
                <w:sz w:val="28"/>
                <w:szCs w:val="28"/>
              </w:rPr>
              <w:t>202</w:t>
            </w:r>
            <w:r w:rsidR="00A50AB8">
              <w:rPr>
                <w:rFonts w:ascii="Times New Roman" w:eastAsia="Times New Roman" w:hAnsi="Times New Roman" w:cs="Times New Roman"/>
                <w:b/>
                <w:color w:val="000000"/>
                <w:sz w:val="28"/>
                <w:szCs w:val="28"/>
              </w:rPr>
              <w:t>2</w:t>
            </w:r>
            <w:r w:rsidRPr="003B486E">
              <w:rPr>
                <w:rFonts w:ascii="Times New Roman" w:eastAsia="Times New Roman" w:hAnsi="Times New Roman" w:cs="Times New Roman"/>
                <w:b/>
                <w:color w:val="000000"/>
                <w:sz w:val="28"/>
                <w:szCs w:val="28"/>
              </w:rPr>
              <w:t xml:space="preserve"> год</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D70D4B">
            <w:pPr>
              <w:widowControl w:val="0"/>
              <w:suppressAutoHyphens w:val="0"/>
              <w:spacing w:after="0" w:line="240" w:lineRule="auto"/>
              <w:rPr>
                <w:rFonts w:ascii="Times New Roman" w:eastAsia="Times New Roman" w:hAnsi="Times New Roman" w:cs="Times New Roman"/>
                <w:b/>
                <w:i/>
                <w:color w:val="000000"/>
                <w:sz w:val="28"/>
                <w:szCs w:val="28"/>
              </w:rPr>
            </w:pPr>
            <w:r w:rsidRPr="003B486E">
              <w:rPr>
                <w:rFonts w:ascii="Times New Roman" w:eastAsia="Times New Roman" w:hAnsi="Times New Roman" w:cs="Times New Roman"/>
                <w:b/>
                <w:i/>
                <w:color w:val="000000"/>
                <w:sz w:val="28"/>
                <w:szCs w:val="28"/>
              </w:rPr>
              <w:t>Количество проведенных экспертно-ана</w:t>
            </w:r>
            <w:r w:rsidR="00D70D4B">
              <w:rPr>
                <w:rFonts w:ascii="Times New Roman" w:eastAsia="Times New Roman" w:hAnsi="Times New Roman" w:cs="Times New Roman"/>
                <w:b/>
                <w:i/>
                <w:color w:val="000000"/>
                <w:sz w:val="28"/>
                <w:szCs w:val="28"/>
              </w:rPr>
              <w:t xml:space="preserve">литических мероприятий, всего, </w:t>
            </w:r>
            <w:r w:rsidRPr="003B486E">
              <w:rPr>
                <w:rFonts w:ascii="Times New Roman" w:eastAsia="Times New Roman" w:hAnsi="Times New Roman" w:cs="Times New Roman"/>
                <w:b/>
                <w:i/>
                <w:color w:val="000000"/>
                <w:sz w:val="28"/>
                <w:szCs w:val="28"/>
              </w:rPr>
              <w:t>в том числе:</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A50AB8" w:rsidP="003B486E">
            <w:pPr>
              <w:widowControl w:val="0"/>
              <w:suppressAutoHyphens w:val="0"/>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14</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3B486E">
            <w:pPr>
              <w:widowControl w:val="0"/>
              <w:suppressAutoHyphens w:val="0"/>
              <w:spacing w:after="0" w:line="240" w:lineRule="auto"/>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по проектам решений о бюджете</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B70609" w:rsidP="003B486E">
            <w:pPr>
              <w:widowControl w:val="0"/>
              <w:suppressAutoHyphens w:val="0"/>
              <w:spacing w:after="0" w:line="240" w:lineRule="auto"/>
              <w:jc w:val="center"/>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1</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3B486E">
            <w:pPr>
              <w:widowControl w:val="0"/>
              <w:suppressAutoHyphens w:val="0"/>
              <w:spacing w:after="0" w:line="240" w:lineRule="auto"/>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о внесении изменений в бюджет</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A50AB8" w:rsidP="003B486E">
            <w:pPr>
              <w:widowControl w:val="0"/>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3B486E">
            <w:pPr>
              <w:widowControl w:val="0"/>
              <w:suppressAutoHyphens w:val="0"/>
              <w:spacing w:after="0" w:line="240" w:lineRule="auto"/>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о ходе исполнения бюджета</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B70609" w:rsidP="003B486E">
            <w:pPr>
              <w:widowControl w:val="0"/>
              <w:suppressAutoHyphens w:val="0"/>
              <w:spacing w:after="0" w:line="240" w:lineRule="auto"/>
              <w:jc w:val="center"/>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3</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tcPr>
          <w:p w:rsidR="00B70609" w:rsidRPr="003B486E" w:rsidRDefault="00B70609" w:rsidP="00A50AB8">
            <w:pPr>
              <w:widowControl w:val="0"/>
              <w:suppressAutoHyphens w:val="0"/>
              <w:spacing w:after="0" w:line="240" w:lineRule="auto"/>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внешняя проверка годов</w:t>
            </w:r>
            <w:r w:rsidR="00A50AB8">
              <w:rPr>
                <w:rFonts w:ascii="Times New Roman" w:eastAsia="Times New Roman" w:hAnsi="Times New Roman" w:cs="Times New Roman"/>
                <w:color w:val="000000"/>
                <w:sz w:val="28"/>
                <w:szCs w:val="28"/>
              </w:rPr>
              <w:t>ого</w:t>
            </w:r>
            <w:r w:rsidRPr="003B486E">
              <w:rPr>
                <w:rFonts w:ascii="Times New Roman" w:eastAsia="Times New Roman" w:hAnsi="Times New Roman" w:cs="Times New Roman"/>
                <w:color w:val="000000"/>
                <w:sz w:val="28"/>
                <w:szCs w:val="28"/>
              </w:rPr>
              <w:t xml:space="preserve"> отчет</w:t>
            </w:r>
            <w:r w:rsidR="00A50AB8">
              <w:rPr>
                <w:rFonts w:ascii="Times New Roman" w:eastAsia="Times New Roman" w:hAnsi="Times New Roman" w:cs="Times New Roman"/>
                <w:color w:val="000000"/>
                <w:sz w:val="28"/>
                <w:szCs w:val="28"/>
              </w:rPr>
              <w:t>а</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A50AB8" w:rsidP="003B486E">
            <w:pPr>
              <w:widowControl w:val="0"/>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3B486E">
            <w:pPr>
              <w:widowControl w:val="0"/>
              <w:suppressAutoHyphens w:val="0"/>
              <w:spacing w:after="0" w:line="240" w:lineRule="auto"/>
              <w:rPr>
                <w:rFonts w:ascii="Times New Roman" w:eastAsia="Times New Roman" w:hAnsi="Times New Roman" w:cs="Times New Roman"/>
                <w:b/>
                <w:i/>
                <w:color w:val="000000"/>
                <w:sz w:val="28"/>
                <w:szCs w:val="28"/>
              </w:rPr>
            </w:pPr>
            <w:r w:rsidRPr="003B486E">
              <w:rPr>
                <w:rFonts w:ascii="Times New Roman" w:eastAsia="Times New Roman" w:hAnsi="Times New Roman" w:cs="Times New Roman"/>
                <w:b/>
                <w:i/>
                <w:color w:val="000000"/>
                <w:sz w:val="28"/>
                <w:szCs w:val="28"/>
              </w:rPr>
              <w:t>по финансово-экономической экспертизе проектов муниципальных правовых актов (включая обоснованность финансово-экономических обоснований, всего, в том числе:</w:t>
            </w:r>
          </w:p>
        </w:tc>
        <w:tc>
          <w:tcPr>
            <w:tcW w:w="1978" w:type="dxa"/>
            <w:tcBorders>
              <w:top w:val="single" w:sz="4" w:space="0" w:color="auto"/>
              <w:left w:val="nil"/>
              <w:bottom w:val="single" w:sz="4" w:space="0" w:color="auto"/>
              <w:right w:val="single" w:sz="4" w:space="0" w:color="auto"/>
            </w:tcBorders>
            <w:vAlign w:val="center"/>
          </w:tcPr>
          <w:p w:rsidR="00B70609" w:rsidRPr="00A50AB8" w:rsidRDefault="00A50AB8" w:rsidP="003B486E">
            <w:pPr>
              <w:widowControl w:val="0"/>
              <w:suppressAutoHyphens w:val="0"/>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3B486E">
            <w:pPr>
              <w:widowControl w:val="0"/>
              <w:suppressAutoHyphens w:val="0"/>
              <w:spacing w:after="0" w:line="240" w:lineRule="auto"/>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экспертиза муниципальных программ</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B70609" w:rsidP="003B486E">
            <w:pPr>
              <w:widowControl w:val="0"/>
              <w:suppressAutoHyphens w:val="0"/>
              <w:spacing w:after="0" w:line="240" w:lineRule="auto"/>
              <w:jc w:val="center"/>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w:t>
            </w:r>
          </w:p>
        </w:tc>
      </w:tr>
      <w:tr w:rsidR="00B70609" w:rsidRPr="003B486E" w:rsidTr="00223A78">
        <w:trPr>
          <w:trHeight w:val="20"/>
        </w:trPr>
        <w:tc>
          <w:tcPr>
            <w:tcW w:w="7763" w:type="dxa"/>
            <w:tcBorders>
              <w:top w:val="nil"/>
              <w:left w:val="single" w:sz="4" w:space="0" w:color="auto"/>
              <w:bottom w:val="single" w:sz="4" w:space="0" w:color="auto"/>
              <w:right w:val="single" w:sz="4" w:space="0" w:color="auto"/>
            </w:tcBorders>
            <w:shd w:val="clear" w:color="auto" w:fill="auto"/>
            <w:vAlign w:val="bottom"/>
            <w:hideMark/>
          </w:tcPr>
          <w:p w:rsidR="00B70609" w:rsidRPr="003B486E" w:rsidRDefault="00B70609" w:rsidP="003B486E">
            <w:pPr>
              <w:widowControl w:val="0"/>
              <w:suppressAutoHyphens w:val="0"/>
              <w:spacing w:after="0" w:line="240" w:lineRule="auto"/>
              <w:rPr>
                <w:rFonts w:ascii="Times New Roman" w:eastAsia="Times New Roman" w:hAnsi="Times New Roman" w:cs="Times New Roman"/>
                <w:color w:val="000000"/>
                <w:sz w:val="28"/>
                <w:szCs w:val="28"/>
              </w:rPr>
            </w:pPr>
            <w:r w:rsidRPr="003B486E">
              <w:rPr>
                <w:rFonts w:ascii="Times New Roman" w:eastAsia="Times New Roman" w:hAnsi="Times New Roman" w:cs="Times New Roman"/>
                <w:color w:val="000000"/>
                <w:sz w:val="28"/>
                <w:szCs w:val="28"/>
              </w:rPr>
              <w:t>по прочим мероприятиям</w:t>
            </w:r>
          </w:p>
        </w:tc>
        <w:tc>
          <w:tcPr>
            <w:tcW w:w="1978" w:type="dxa"/>
            <w:tcBorders>
              <w:top w:val="single" w:sz="4" w:space="0" w:color="auto"/>
              <w:left w:val="nil"/>
              <w:bottom w:val="single" w:sz="4" w:space="0" w:color="auto"/>
              <w:right w:val="single" w:sz="4" w:space="0" w:color="auto"/>
            </w:tcBorders>
            <w:vAlign w:val="center"/>
          </w:tcPr>
          <w:p w:rsidR="00B70609" w:rsidRPr="003B486E" w:rsidRDefault="00A50AB8" w:rsidP="003B486E">
            <w:pPr>
              <w:widowControl w:val="0"/>
              <w:suppressAutoHyphens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rsidR="003B486E" w:rsidRPr="003B486E" w:rsidRDefault="003B486E" w:rsidP="00223A78">
      <w:pPr>
        <w:pStyle w:val="a5"/>
        <w:spacing w:before="280"/>
      </w:pPr>
      <w:r w:rsidRPr="003B486E">
        <w:t xml:space="preserve">За отчетный период проведено </w:t>
      </w:r>
      <w:r w:rsidR="00A50AB8">
        <w:t>14</w:t>
      </w:r>
      <w:r w:rsidRPr="003B486E">
        <w:t xml:space="preserve"> экспертно-аналитических мероприяти</w:t>
      </w:r>
      <w:r w:rsidR="00B70609">
        <w:t>я</w:t>
      </w:r>
      <w:r w:rsidRPr="003B486E">
        <w:t>, в том числе:</w:t>
      </w:r>
    </w:p>
    <w:p w:rsidR="003B486E" w:rsidRPr="003B486E" w:rsidRDefault="003B486E" w:rsidP="00223A78">
      <w:pPr>
        <w:pStyle w:val="a5"/>
      </w:pPr>
      <w:r w:rsidRPr="003B486E">
        <w:t>1 - по проекту решения о бюджете Грачевского муниципального округа Ставропольского края на 202</w:t>
      </w:r>
      <w:r w:rsidR="00A50AB8">
        <w:t>3</w:t>
      </w:r>
      <w:r w:rsidRPr="003B486E">
        <w:t xml:space="preserve"> год и плановый период 202</w:t>
      </w:r>
      <w:r w:rsidR="00A50AB8">
        <w:t>4</w:t>
      </w:r>
      <w:r w:rsidRPr="003B486E">
        <w:t xml:space="preserve"> и 202</w:t>
      </w:r>
      <w:r w:rsidR="00A50AB8">
        <w:t>5</w:t>
      </w:r>
      <w:r w:rsidRPr="003B486E">
        <w:t xml:space="preserve"> годов;</w:t>
      </w:r>
    </w:p>
    <w:p w:rsidR="003B486E" w:rsidRPr="003B486E" w:rsidRDefault="00A50AB8" w:rsidP="00223A78">
      <w:pPr>
        <w:pStyle w:val="a5"/>
      </w:pPr>
      <w:r>
        <w:t xml:space="preserve">8 </w:t>
      </w:r>
      <w:r w:rsidR="003B486E" w:rsidRPr="003B486E">
        <w:t>- о внесении изменений в бюджет на 202</w:t>
      </w:r>
      <w:r>
        <w:t>2</w:t>
      </w:r>
      <w:r w:rsidR="003B486E" w:rsidRPr="003B486E">
        <w:t xml:space="preserve"> год и плановый период 202</w:t>
      </w:r>
      <w:r>
        <w:t>3</w:t>
      </w:r>
      <w:r w:rsidR="003B486E" w:rsidRPr="003B486E">
        <w:t> и 202</w:t>
      </w:r>
      <w:r>
        <w:t>4</w:t>
      </w:r>
      <w:r w:rsidR="003B486E" w:rsidRPr="003B486E">
        <w:t xml:space="preserve"> годов;</w:t>
      </w:r>
    </w:p>
    <w:p w:rsidR="003B486E" w:rsidRPr="003B486E" w:rsidRDefault="003B486E" w:rsidP="00223A78">
      <w:pPr>
        <w:pStyle w:val="a5"/>
      </w:pPr>
      <w:r w:rsidRPr="003B486E">
        <w:t>3 - о ходе исполнения бюджета Грачевского муниципального округа</w:t>
      </w:r>
      <w:r w:rsidR="00ED0031">
        <w:t xml:space="preserve"> за 2022 год</w:t>
      </w:r>
      <w:r w:rsidRPr="003B486E">
        <w:t>;</w:t>
      </w:r>
    </w:p>
    <w:p w:rsidR="003B486E" w:rsidRPr="003B486E" w:rsidRDefault="00A50AB8" w:rsidP="00223A78">
      <w:pPr>
        <w:pStyle w:val="a5"/>
      </w:pPr>
      <w:r>
        <w:t>1</w:t>
      </w:r>
      <w:r w:rsidR="003B486E" w:rsidRPr="003B486E">
        <w:t xml:space="preserve"> </w:t>
      </w:r>
      <w:r w:rsidR="00ED0031">
        <w:t>-</w:t>
      </w:r>
      <w:r w:rsidR="003B486E" w:rsidRPr="003B486E">
        <w:t xml:space="preserve"> внешняя проверка отчет</w:t>
      </w:r>
      <w:r>
        <w:t>а</w:t>
      </w:r>
      <w:r w:rsidR="003B486E" w:rsidRPr="003B486E">
        <w:t xml:space="preserve"> об исполнении бюджета Грачевского муниципального округа</w:t>
      </w:r>
      <w:r>
        <w:t xml:space="preserve"> за 2021 год</w:t>
      </w:r>
      <w:r w:rsidR="003B486E" w:rsidRPr="003B486E">
        <w:t>;</w:t>
      </w:r>
    </w:p>
    <w:p w:rsidR="003B486E" w:rsidRPr="003B486E" w:rsidRDefault="00A50AB8" w:rsidP="00223A78">
      <w:pPr>
        <w:pStyle w:val="a5"/>
      </w:pPr>
      <w:r>
        <w:t>1</w:t>
      </w:r>
      <w:r w:rsidR="003B486E" w:rsidRPr="003B486E">
        <w:t xml:space="preserve"> - по прочим мероприятиям (экспертиза муниципальных правовых актов).</w:t>
      </w:r>
    </w:p>
    <w:p w:rsidR="003B486E" w:rsidRDefault="00AF2B70" w:rsidP="00223A78">
      <w:pPr>
        <w:pStyle w:val="a5"/>
      </w:pPr>
      <w:r w:rsidRPr="00AF2B70">
        <w:t>По итогам рассмотрения проект</w:t>
      </w:r>
      <w:r>
        <w:t>ов</w:t>
      </w:r>
      <w:r w:rsidRPr="00AF2B70">
        <w:t xml:space="preserve"> решений и иных нормативных муниципальных правовых актов </w:t>
      </w:r>
      <w:r>
        <w:t>з</w:t>
      </w:r>
      <w:r w:rsidRPr="00AF2B70">
        <w:t>а 202</w:t>
      </w:r>
      <w:r w:rsidR="00A50AB8">
        <w:t>2</w:t>
      </w:r>
      <w:r w:rsidRPr="00AF2B70">
        <w:t xml:space="preserve"> год подготовлено </w:t>
      </w:r>
      <w:r w:rsidR="00A50AB8">
        <w:t>14</w:t>
      </w:r>
      <w:r w:rsidRPr="00AF2B70">
        <w:t xml:space="preserve"> заключени</w:t>
      </w:r>
      <w:r w:rsidR="00A50AB8">
        <w:t>й</w:t>
      </w:r>
      <w:r>
        <w:t>.</w:t>
      </w:r>
    </w:p>
    <w:p w:rsidR="003B486E" w:rsidRDefault="00A27357" w:rsidP="00223A78">
      <w:pPr>
        <w:widowControl w:val="0"/>
        <w:spacing w:before="280" w:after="280" w:line="240" w:lineRule="auto"/>
        <w:ind w:firstLine="708"/>
        <w:jc w:val="center"/>
        <w:rPr>
          <w:rFonts w:ascii="Times New Roman" w:hAnsi="Times New Roman" w:cs="Times New Roman"/>
          <w:sz w:val="28"/>
          <w:szCs w:val="28"/>
        </w:rPr>
      </w:pPr>
      <w:r w:rsidRPr="00A27357">
        <w:rPr>
          <w:rFonts w:ascii="Times New Roman" w:hAnsi="Times New Roman" w:cs="Times New Roman"/>
          <w:i/>
          <w:sz w:val="28"/>
          <w:szCs w:val="28"/>
        </w:rPr>
        <w:lastRenderedPageBreak/>
        <w:t>Результаты отдельных мероприятий</w:t>
      </w:r>
    </w:p>
    <w:p w:rsidR="00B70609" w:rsidRDefault="003B486E" w:rsidP="00223A78">
      <w:pPr>
        <w:pStyle w:val="a"/>
      </w:pPr>
      <w:r w:rsidRPr="003B486E">
        <w:t>В рамках предварительного контроля проведена экспертиза проектов решений Совета Грачевского муниципального округа «О внесении изменений в решение Совета Грачевского муниципального округа Ставропольского края «О бюджете Грачевского муниципального округа Ставропольского края на</w:t>
      </w:r>
      <w:r w:rsidR="00A77442">
        <w:t xml:space="preserve"> </w:t>
      </w:r>
      <w:r w:rsidRPr="003B486E">
        <w:t>202</w:t>
      </w:r>
      <w:r w:rsidR="002758EE">
        <w:t>2</w:t>
      </w:r>
      <w:r w:rsidRPr="003B486E">
        <w:t xml:space="preserve"> год и плановый период 202</w:t>
      </w:r>
      <w:r w:rsidR="002758EE">
        <w:t>3</w:t>
      </w:r>
      <w:r w:rsidRPr="003B486E">
        <w:t xml:space="preserve"> и 202</w:t>
      </w:r>
      <w:r w:rsidR="002758EE">
        <w:t>4</w:t>
      </w:r>
      <w:r w:rsidRPr="003B486E">
        <w:t xml:space="preserve"> годов»»</w:t>
      </w:r>
      <w:r w:rsidR="00B70609">
        <w:t xml:space="preserve"> и </w:t>
      </w:r>
      <w:r w:rsidR="00B70609" w:rsidRPr="00B70609">
        <w:t xml:space="preserve">подготовлено </w:t>
      </w:r>
      <w:r w:rsidR="002758EE">
        <w:t>8</w:t>
      </w:r>
      <w:r w:rsidR="00624D4B">
        <w:t> </w:t>
      </w:r>
      <w:r w:rsidR="00B70609" w:rsidRPr="00B70609">
        <w:t>экспертных заключени</w:t>
      </w:r>
      <w:r w:rsidR="00B70609">
        <w:t>й</w:t>
      </w:r>
      <w:r w:rsidRPr="003B486E">
        <w:t xml:space="preserve">. </w:t>
      </w:r>
    </w:p>
    <w:p w:rsidR="003B486E" w:rsidRDefault="003B486E" w:rsidP="00223A78">
      <w:pPr>
        <w:pStyle w:val="a5"/>
      </w:pPr>
      <w:r w:rsidRPr="003B486E">
        <w:t>Объем проверенных бюджетных</w:t>
      </w:r>
      <w:r w:rsidR="00A77442">
        <w:t xml:space="preserve"> </w:t>
      </w:r>
      <w:r w:rsidRPr="003B486E">
        <w:t>средств составил</w:t>
      </w:r>
      <w:r w:rsidR="00A77442">
        <w:t xml:space="preserve"> </w:t>
      </w:r>
      <w:r w:rsidR="00180D70" w:rsidRPr="00180D70">
        <w:t>1 843 394,55</w:t>
      </w:r>
      <w:r w:rsidRPr="00180D70">
        <w:t xml:space="preserve"> </w:t>
      </w:r>
      <w:r w:rsidRPr="003B486E">
        <w:t>тыс. рублей.</w:t>
      </w:r>
    </w:p>
    <w:p w:rsidR="003B486E" w:rsidRPr="003B486E" w:rsidRDefault="003B486E" w:rsidP="00223A78">
      <w:pPr>
        <w:pStyle w:val="a5"/>
      </w:pPr>
      <w:r w:rsidRPr="003B486E">
        <w:t>В ходе мероприятий была дана оценка обоснованности предложений по корректировке бюджетных показателей по отдельным видам доходов, исходя из сложившихся объемов поступлений. Особое внимание уделялось планируемым расходам, изменениям бюджетных ассигнований (увеличени</w:t>
      </w:r>
      <w:r w:rsidR="002758EE">
        <w:t>ю</w:t>
      </w:r>
      <w:r w:rsidRPr="003B486E">
        <w:t xml:space="preserve"> или сокращени</w:t>
      </w:r>
      <w:r w:rsidR="002758EE">
        <w:t>ю</w:t>
      </w:r>
      <w:r w:rsidRPr="003B486E">
        <w:t>) целесообразности и результативности планируемых изменений.</w:t>
      </w:r>
    </w:p>
    <w:p w:rsidR="003B486E" w:rsidRPr="003B486E" w:rsidRDefault="003B486E" w:rsidP="00223A78">
      <w:pPr>
        <w:pStyle w:val="a5"/>
      </w:pPr>
      <w:r w:rsidRPr="003B486E">
        <w:t>По результатам экспертизы проекты решений Совета Грачевского муниципального округа Ставропольского края о внесении изменений в местный бюджет признаны соответствующими положениям бюджетного законодательства и были рекомендованы к рассмотрению Советом Грачевского муниципального округа.</w:t>
      </w:r>
    </w:p>
    <w:p w:rsidR="003B486E" w:rsidRPr="003B486E" w:rsidRDefault="003B486E" w:rsidP="00223A78">
      <w:pPr>
        <w:pStyle w:val="a"/>
      </w:pPr>
      <w:r w:rsidRPr="003B486E">
        <w:t>В рамках текущего (оперативного) контроля</w:t>
      </w:r>
      <w:r w:rsidR="00A77442">
        <w:t xml:space="preserve"> </w:t>
      </w:r>
      <w:r w:rsidRPr="003B486E">
        <w:t>проведено 3 экспертно-аналитических мероприяти</w:t>
      </w:r>
      <w:r w:rsidR="00D14BBE">
        <w:t>я</w:t>
      </w:r>
      <w:r w:rsidRPr="003B486E">
        <w:t xml:space="preserve"> по анализу исполнения бюджета Грачевского муниципального округа за I квартал, I полугодие и 9 месяцев 202</w:t>
      </w:r>
      <w:r w:rsidR="00D14BBE">
        <w:t>2</w:t>
      </w:r>
      <w:r w:rsidRPr="003B486E">
        <w:t xml:space="preserve"> года. </w:t>
      </w:r>
    </w:p>
    <w:p w:rsidR="003B486E" w:rsidRDefault="003B486E" w:rsidP="00223A78">
      <w:pPr>
        <w:pStyle w:val="a5"/>
      </w:pPr>
      <w:r w:rsidRPr="003B486E">
        <w:t xml:space="preserve">Ежеквартальный анализ включал оценку уровня исполнения доходных и расходных статей бюджета по объемам и структуре, полноте поступлений и своевременности исполнения расходов, в том числе освоения средств, предусмотренных на реализацию публично-нормативных обязательств, муниципальных программ, осуществлялся анализ хода реализации национальных проектов в рамках реализации региональных проектов Ставропольского края, привлечения средств из источников финансирования дефицита </w:t>
      </w:r>
      <w:r w:rsidR="002758EE">
        <w:t xml:space="preserve">местного </w:t>
      </w:r>
      <w:r w:rsidRPr="003B486E">
        <w:t xml:space="preserve">бюджета. </w:t>
      </w:r>
    </w:p>
    <w:p w:rsidR="003B486E" w:rsidRPr="0082380F" w:rsidRDefault="002758EE" w:rsidP="00223A78">
      <w:pPr>
        <w:pStyle w:val="a5"/>
      </w:pPr>
      <w:r w:rsidRPr="002758EE">
        <w:t xml:space="preserve">По результатам анализа исполнения </w:t>
      </w:r>
      <w:r w:rsidR="00D14BBE">
        <w:t>местного</w:t>
      </w:r>
      <w:r w:rsidRPr="002758EE">
        <w:t xml:space="preserve"> бюджета даны предложения в адрес </w:t>
      </w:r>
      <w:r w:rsidR="00D14BBE">
        <w:t xml:space="preserve">финансового управления администрации </w:t>
      </w:r>
      <w:r w:rsidR="00D14BBE" w:rsidRPr="00D14BBE">
        <w:t>Грачевского муниципального округа Ставропольского края</w:t>
      </w:r>
      <w:r w:rsidRPr="002758EE">
        <w:t xml:space="preserve">, как органа осуществляющего составление и организацию исполнения бюджета </w:t>
      </w:r>
      <w:r w:rsidR="00D14BBE" w:rsidRPr="00D14BBE">
        <w:t>Грачевского муниципального округа Ставропольского края</w:t>
      </w:r>
      <w:r w:rsidR="00D14BBE">
        <w:t>. П</w:t>
      </w:r>
      <w:r w:rsidR="00D14BBE" w:rsidRPr="00D14BBE">
        <w:t>одготовлены и направлены отчеты о ходе исполнения бюджета Грачевского муниципального округа главе Грачевского муниципального округа и в Совет Грачевского муниципального округа.</w:t>
      </w:r>
    </w:p>
    <w:p w:rsidR="00B7093A" w:rsidRPr="00B7093A" w:rsidRDefault="00B7093A" w:rsidP="00223A78">
      <w:pPr>
        <w:pStyle w:val="a"/>
        <w:rPr>
          <w:b/>
          <w:i/>
        </w:rPr>
      </w:pPr>
      <w:r w:rsidRPr="00B7093A">
        <w:t>В рамках последующего контроля Контрольно-счетной комиссией</w:t>
      </w:r>
      <w:r w:rsidR="00A77442">
        <w:t xml:space="preserve"> </w:t>
      </w:r>
      <w:r w:rsidRPr="00B7093A">
        <w:t>в отчетном году проведен</w:t>
      </w:r>
      <w:r>
        <w:t>а</w:t>
      </w:r>
      <w:r w:rsidRPr="00B7093A">
        <w:t xml:space="preserve"> внешняя проверка годового отчета об исполнении бюджета Грачевского</w:t>
      </w:r>
      <w:r w:rsidR="00A77442">
        <w:t xml:space="preserve"> </w:t>
      </w:r>
      <w:r w:rsidRPr="00B7093A">
        <w:t>муниципального округа</w:t>
      </w:r>
      <w:r>
        <w:t xml:space="preserve"> з</w:t>
      </w:r>
      <w:r w:rsidRPr="00B7093A">
        <w:t>а 202</w:t>
      </w:r>
      <w:r>
        <w:t>1 год</w:t>
      </w:r>
      <w:r w:rsidR="00EB19E3" w:rsidRPr="00EB19E3">
        <w:t xml:space="preserve"> и подготов</w:t>
      </w:r>
      <w:r w:rsidR="00EB19E3">
        <w:t xml:space="preserve">лено </w:t>
      </w:r>
      <w:r w:rsidR="00EB19E3" w:rsidRPr="00EB19E3">
        <w:t>заключени</w:t>
      </w:r>
      <w:r w:rsidR="00EB19E3">
        <w:t>е</w:t>
      </w:r>
      <w:r w:rsidR="00EB19E3" w:rsidRPr="00EB19E3">
        <w:t xml:space="preserve"> на годовой отчет</w:t>
      </w:r>
      <w:r>
        <w:t>.</w:t>
      </w:r>
    </w:p>
    <w:p w:rsidR="00FE7756" w:rsidRDefault="00FE7756" w:rsidP="00223A78">
      <w:pPr>
        <w:pStyle w:val="a5"/>
        <w:rPr>
          <w:rFonts w:eastAsia="Times New Roman"/>
        </w:rPr>
      </w:pPr>
      <w:r w:rsidRPr="00FE7756">
        <w:rPr>
          <w:rFonts w:eastAsia="Times New Roman"/>
        </w:rPr>
        <w:lastRenderedPageBreak/>
        <w:t xml:space="preserve">Объем средств бюджета Грачевского муниципального округа, охваченных внешней проверкой составил </w:t>
      </w:r>
      <w:r w:rsidR="00223A78" w:rsidRPr="00223A78">
        <w:rPr>
          <w:rFonts w:eastAsia="Times New Roman"/>
        </w:rPr>
        <w:t>1 411 673,57</w:t>
      </w:r>
      <w:r w:rsidRPr="00223A78">
        <w:rPr>
          <w:rFonts w:eastAsia="Times New Roman"/>
        </w:rPr>
        <w:t xml:space="preserve"> тыс</w:t>
      </w:r>
      <w:r w:rsidRPr="00FE7756">
        <w:rPr>
          <w:rFonts w:eastAsia="Times New Roman"/>
        </w:rPr>
        <w:t>. рублей.</w:t>
      </w:r>
    </w:p>
    <w:p w:rsidR="006359B3" w:rsidRPr="00BC66E0" w:rsidRDefault="002C393C" w:rsidP="00223A78">
      <w:pPr>
        <w:pStyle w:val="a5"/>
        <w:rPr>
          <w:rFonts w:eastAsia="Times New Roman"/>
        </w:rPr>
      </w:pPr>
      <w:r w:rsidRPr="00BC66E0">
        <w:rPr>
          <w:rFonts w:eastAsia="Times New Roman"/>
        </w:rPr>
        <w:t>По результатам внешней проверки годового отчета об исполнении</w:t>
      </w:r>
      <w:r w:rsidR="00BC66E0" w:rsidRPr="00BC66E0">
        <w:t xml:space="preserve"> </w:t>
      </w:r>
      <w:r w:rsidR="00BC66E0" w:rsidRPr="00BC66E0">
        <w:rPr>
          <w:rFonts w:eastAsia="Times New Roman"/>
        </w:rPr>
        <w:t>бюджета Грачевского муниципального округа</w:t>
      </w:r>
      <w:r w:rsidR="004A4D07" w:rsidRPr="004A4D07">
        <w:rPr>
          <w:rFonts w:eastAsia="Times New Roman"/>
        </w:rPr>
        <w:t xml:space="preserve"> за 202</w:t>
      </w:r>
      <w:r w:rsidR="004A4D07">
        <w:rPr>
          <w:rFonts w:eastAsia="Times New Roman"/>
        </w:rPr>
        <w:t>1</w:t>
      </w:r>
      <w:r w:rsidR="004A4D07" w:rsidRPr="004A4D07">
        <w:rPr>
          <w:rFonts w:eastAsia="Times New Roman"/>
        </w:rPr>
        <w:t xml:space="preserve"> год</w:t>
      </w:r>
      <w:r w:rsidRPr="00BC66E0">
        <w:rPr>
          <w:rFonts w:eastAsia="Times New Roman"/>
        </w:rPr>
        <w:t xml:space="preserve"> (в том числе бюджетной отчетности всех </w:t>
      </w:r>
      <w:r w:rsidR="006359B3" w:rsidRPr="00BC66E0">
        <w:rPr>
          <w:rFonts w:eastAsia="Times New Roman"/>
        </w:rPr>
        <w:t xml:space="preserve">16-ти </w:t>
      </w:r>
      <w:r w:rsidRPr="00BC66E0">
        <w:rPr>
          <w:rFonts w:eastAsia="Times New Roman"/>
        </w:rPr>
        <w:t>главных администраторов бюджетных средств (ГАБС) установлено, что в целом показатели годового отчета соответств</w:t>
      </w:r>
      <w:r w:rsidR="00BC66E0">
        <w:rPr>
          <w:rFonts w:eastAsia="Times New Roman"/>
        </w:rPr>
        <w:t xml:space="preserve">уют </w:t>
      </w:r>
      <w:r w:rsidRPr="00BC66E0">
        <w:rPr>
          <w:rFonts w:eastAsia="Times New Roman"/>
        </w:rPr>
        <w:t>показателям исполнения бюджета</w:t>
      </w:r>
      <w:r w:rsidR="006359B3" w:rsidRPr="00BC66E0">
        <w:rPr>
          <w:rFonts w:eastAsia="Times New Roman"/>
        </w:rPr>
        <w:t>,</w:t>
      </w:r>
      <w:r w:rsidRPr="00BC66E0">
        <w:rPr>
          <w:rFonts w:eastAsia="Times New Roman"/>
        </w:rPr>
        <w:t xml:space="preserve"> </w:t>
      </w:r>
      <w:r w:rsidR="006359B3" w:rsidRPr="00BC66E0">
        <w:t>фактов неполноты отчетности, а по результатам документальных проверок главных администраторов</w:t>
      </w:r>
      <w:r w:rsidR="00BC66E0">
        <w:t xml:space="preserve"> бюджетных средств</w:t>
      </w:r>
      <w:r w:rsidR="00A77442">
        <w:t xml:space="preserve"> </w:t>
      </w:r>
      <w:r w:rsidR="006359B3" w:rsidRPr="00BC66E0">
        <w:t>недостоверности бюджетной отчетности не выявлено.</w:t>
      </w:r>
    </w:p>
    <w:p w:rsidR="00BC66E0" w:rsidRPr="00BC66E0" w:rsidRDefault="006359B3" w:rsidP="00223A78">
      <w:pPr>
        <w:pStyle w:val="a5"/>
        <w:rPr>
          <w:rFonts w:eastAsia="Times New Roman"/>
        </w:rPr>
      </w:pPr>
      <w:r w:rsidRPr="00BC66E0">
        <w:rPr>
          <w:rFonts w:eastAsia="Times New Roman"/>
        </w:rPr>
        <w:t xml:space="preserve">Исполняя требования Бюджетного Кодекса по осуществлению внешней проверки, КСК было подготовлено заключение на годовой отчет с подробным изложением итогов внешней проверки, анализа исполнения бюджета в разрезе полноты поступления доходов и освоения бюджетных средств в соответствии с утвержденными решением о бюджете целями и направлениями, оценки его динамики в сравнении с предыдущими годами. </w:t>
      </w:r>
    </w:p>
    <w:p w:rsidR="00EC134F" w:rsidRDefault="006359B3" w:rsidP="00223A78">
      <w:pPr>
        <w:pStyle w:val="a5"/>
        <w:rPr>
          <w:rFonts w:eastAsia="Times New Roman"/>
        </w:rPr>
      </w:pPr>
      <w:r w:rsidRPr="00BC66E0">
        <w:rPr>
          <w:rFonts w:eastAsia="Times New Roman"/>
        </w:rPr>
        <w:t>По результатам данной работы Контрольно-счетная комиссия в установленном законодательством порядке и с соблюдением сроков представила главе Грачевского муниципального округа и Совет Грачевского муниципального округа экспертное заключение с выводами и предложениями</w:t>
      </w:r>
      <w:r w:rsidRPr="006359B3">
        <w:rPr>
          <w:rFonts w:eastAsia="Times New Roman"/>
        </w:rPr>
        <w:t>.</w:t>
      </w:r>
    </w:p>
    <w:p w:rsidR="00C20A38" w:rsidRDefault="003B486E" w:rsidP="00223A78">
      <w:pPr>
        <w:pStyle w:val="a"/>
      </w:pPr>
      <w:r w:rsidRPr="003B486E">
        <w:t>В рамках реализации полномочий по проведению экспертизы проектов муниципальных правовых актов</w:t>
      </w:r>
      <w:r w:rsidR="00C20A38" w:rsidRPr="00C20A38">
        <w:t>, приводящих к изменению доходов местного бюджета</w:t>
      </w:r>
      <w:r w:rsidR="00C20A38">
        <w:t xml:space="preserve">, </w:t>
      </w:r>
      <w:r w:rsidR="00C20A38" w:rsidRPr="00C20A38">
        <w:t>в 2022 году Контрольно-с</w:t>
      </w:r>
      <w:r w:rsidR="00223A78">
        <w:t>четной комиссией подготовлено 1 </w:t>
      </w:r>
      <w:r w:rsidR="00C20A38" w:rsidRPr="00C20A38">
        <w:t>экспертн</w:t>
      </w:r>
      <w:r w:rsidR="00C20A38">
        <w:t>ое</w:t>
      </w:r>
      <w:r w:rsidR="00C20A38" w:rsidRPr="00C20A38">
        <w:t xml:space="preserve"> заключени</w:t>
      </w:r>
      <w:r w:rsidR="00C20A38">
        <w:t>е</w:t>
      </w:r>
      <w:r w:rsidR="00A77442">
        <w:t xml:space="preserve"> </w:t>
      </w:r>
      <w:r w:rsidR="00C20A38">
        <w:t>на</w:t>
      </w:r>
      <w:r w:rsidR="00A77442">
        <w:t xml:space="preserve"> </w:t>
      </w:r>
      <w:r w:rsidR="00C20A38" w:rsidRPr="00C20A38">
        <w:t>проект решения Совета Грачевского муниципального округа Ставропольского края «Об установлении доли дотации на выравнивание бюджетной</w:t>
      </w:r>
      <w:r w:rsidR="00A77442">
        <w:t xml:space="preserve"> </w:t>
      </w:r>
      <w:r w:rsidR="00C20A38" w:rsidRPr="00C20A38">
        <w:t>обеспеченности, подлежащей замене на дополнительный норматив</w:t>
      </w:r>
      <w:r w:rsidR="00A77442">
        <w:t xml:space="preserve"> </w:t>
      </w:r>
      <w:r w:rsidR="00C20A38" w:rsidRPr="00C20A38">
        <w:t>отчислений от налога на доходы физических лиц»</w:t>
      </w:r>
      <w:r w:rsidR="00C20A38">
        <w:t>.</w:t>
      </w:r>
    </w:p>
    <w:p w:rsidR="00990D2E" w:rsidRDefault="00D80FAD" w:rsidP="00223A78">
      <w:pPr>
        <w:pStyle w:val="a5"/>
      </w:pPr>
      <w:r w:rsidRPr="00E04A71">
        <w:t>При подготовке заключения проводился анализ соблюдения норм БК РФ и иных нормативных правовых актов Российской Федерации, Ставропольского края.</w:t>
      </w:r>
    </w:p>
    <w:p w:rsidR="00990D2E" w:rsidRDefault="00990D2E" w:rsidP="00223A78">
      <w:pPr>
        <w:pStyle w:val="a5"/>
        <w:rPr>
          <w:rFonts w:eastAsia="Times New Roman"/>
        </w:rPr>
      </w:pPr>
      <w:r>
        <w:rPr>
          <w:rFonts w:eastAsia="Times New Roman"/>
        </w:rPr>
        <w:t>По</w:t>
      </w:r>
      <w:r w:rsidRPr="00990D2E">
        <w:rPr>
          <w:rFonts w:eastAsia="Times New Roman"/>
        </w:rPr>
        <w:t xml:space="preserve"> результат</w:t>
      </w:r>
      <w:r>
        <w:rPr>
          <w:rFonts w:eastAsia="Times New Roman"/>
        </w:rPr>
        <w:t>ам</w:t>
      </w:r>
      <w:r w:rsidRPr="00990D2E">
        <w:rPr>
          <w:rFonts w:eastAsia="Times New Roman"/>
        </w:rPr>
        <w:t xml:space="preserve"> </w:t>
      </w:r>
      <w:r w:rsidRPr="00BF7917">
        <w:rPr>
          <w:rFonts w:eastAsia="Times New Roman"/>
        </w:rPr>
        <w:t>представленн</w:t>
      </w:r>
      <w:r>
        <w:rPr>
          <w:rFonts w:eastAsia="Times New Roman"/>
        </w:rPr>
        <w:t>ого</w:t>
      </w:r>
      <w:r w:rsidRPr="00BF7917">
        <w:rPr>
          <w:rFonts w:eastAsia="Times New Roman"/>
        </w:rPr>
        <w:t xml:space="preserve"> на экспертизу </w:t>
      </w:r>
      <w:r>
        <w:rPr>
          <w:rFonts w:eastAsia="Times New Roman"/>
        </w:rPr>
        <w:t xml:space="preserve">проекта </w:t>
      </w:r>
      <w:r w:rsidRPr="00BF7917">
        <w:rPr>
          <w:rFonts w:eastAsia="Times New Roman"/>
        </w:rPr>
        <w:t>МПА, Контрольно-счетн</w:t>
      </w:r>
      <w:r>
        <w:rPr>
          <w:rFonts w:eastAsia="Times New Roman"/>
        </w:rPr>
        <w:t>ая</w:t>
      </w:r>
      <w:r w:rsidRPr="00BF7917">
        <w:rPr>
          <w:rFonts w:eastAsia="Times New Roman"/>
        </w:rPr>
        <w:t xml:space="preserve"> комисси</w:t>
      </w:r>
      <w:r>
        <w:rPr>
          <w:rFonts w:eastAsia="Times New Roman"/>
        </w:rPr>
        <w:t>я</w:t>
      </w:r>
      <w:r w:rsidRPr="00BF7917">
        <w:rPr>
          <w:rFonts w:eastAsia="Times New Roman"/>
        </w:rPr>
        <w:t xml:space="preserve"> отмечала недостаточную проработку финансово-экономических обоснований, отсутствие сведений о влиянии тех или иных предлагаемых решений на доходы и расходы бюджета Грачевского муниципального округа и оценки предполагаемого социально-экономического эффекта.</w:t>
      </w:r>
    </w:p>
    <w:p w:rsidR="00990D2E" w:rsidRDefault="00990D2E" w:rsidP="00223A78">
      <w:pPr>
        <w:pStyle w:val="a5"/>
        <w:rPr>
          <w:rFonts w:eastAsia="Times New Roman"/>
        </w:rPr>
      </w:pPr>
      <w:r w:rsidRPr="00D00776">
        <w:rPr>
          <w:rFonts w:eastAsia="Times New Roman"/>
        </w:rPr>
        <w:t>По итогам экспертизы проект</w:t>
      </w:r>
      <w:r>
        <w:rPr>
          <w:rFonts w:eastAsia="Times New Roman"/>
        </w:rPr>
        <w:t>а</w:t>
      </w:r>
      <w:r w:rsidRPr="00D00776">
        <w:rPr>
          <w:rFonts w:eastAsia="Times New Roman"/>
        </w:rPr>
        <w:t xml:space="preserve"> МПА Контрольно-счетн</w:t>
      </w:r>
      <w:r>
        <w:rPr>
          <w:rFonts w:eastAsia="Times New Roman"/>
        </w:rPr>
        <w:t>ой</w:t>
      </w:r>
      <w:r w:rsidRPr="00D00776">
        <w:rPr>
          <w:rFonts w:eastAsia="Times New Roman"/>
        </w:rPr>
        <w:t xml:space="preserve"> комисси</w:t>
      </w:r>
      <w:r>
        <w:rPr>
          <w:rFonts w:eastAsia="Times New Roman"/>
        </w:rPr>
        <w:t xml:space="preserve">ей </w:t>
      </w:r>
      <w:r w:rsidRPr="00BC6746">
        <w:rPr>
          <w:rFonts w:eastAsia="Times New Roman"/>
        </w:rPr>
        <w:t xml:space="preserve">сформулировано </w:t>
      </w:r>
      <w:r w:rsidR="00522370" w:rsidRPr="00522370">
        <w:rPr>
          <w:rFonts w:eastAsia="Times New Roman"/>
        </w:rPr>
        <w:t>5</w:t>
      </w:r>
      <w:r w:rsidR="00A77442">
        <w:rPr>
          <w:rFonts w:eastAsia="Times New Roman"/>
          <w:b/>
          <w:color w:val="FF0000"/>
        </w:rPr>
        <w:t xml:space="preserve"> </w:t>
      </w:r>
      <w:r w:rsidRPr="00990D2E">
        <w:rPr>
          <w:rFonts w:eastAsia="Times New Roman"/>
        </w:rPr>
        <w:t>замечани</w:t>
      </w:r>
      <w:r>
        <w:rPr>
          <w:rFonts w:eastAsia="Times New Roman"/>
        </w:rPr>
        <w:t>й</w:t>
      </w:r>
      <w:r w:rsidRPr="00990D2E">
        <w:rPr>
          <w:rFonts w:eastAsia="Times New Roman"/>
        </w:rPr>
        <w:t xml:space="preserve"> и предложени</w:t>
      </w:r>
      <w:r>
        <w:rPr>
          <w:rFonts w:eastAsia="Times New Roman"/>
        </w:rPr>
        <w:t>й, которые</w:t>
      </w:r>
      <w:r w:rsidRPr="00BC6746">
        <w:rPr>
          <w:rFonts w:eastAsia="Times New Roman"/>
        </w:rPr>
        <w:t xml:space="preserve"> </w:t>
      </w:r>
      <w:r>
        <w:rPr>
          <w:rFonts w:eastAsia="Times New Roman"/>
        </w:rPr>
        <w:t>п</w:t>
      </w:r>
      <w:r w:rsidRPr="002A57E3">
        <w:rPr>
          <w:rFonts w:eastAsia="Times New Roman"/>
        </w:rPr>
        <w:t xml:space="preserve">ри принятии </w:t>
      </w:r>
      <w:r w:rsidRPr="00990D2E">
        <w:rPr>
          <w:rFonts w:eastAsia="Times New Roman"/>
        </w:rPr>
        <w:t>правов</w:t>
      </w:r>
      <w:r>
        <w:rPr>
          <w:rFonts w:eastAsia="Times New Roman"/>
        </w:rPr>
        <w:t>ого</w:t>
      </w:r>
      <w:r w:rsidRPr="00990D2E">
        <w:rPr>
          <w:rFonts w:eastAsia="Times New Roman"/>
        </w:rPr>
        <w:t xml:space="preserve"> акт</w:t>
      </w:r>
      <w:r>
        <w:rPr>
          <w:rFonts w:eastAsia="Times New Roman"/>
        </w:rPr>
        <w:t>а</w:t>
      </w:r>
      <w:r w:rsidRPr="00990D2E">
        <w:rPr>
          <w:rFonts w:eastAsia="Times New Roman"/>
        </w:rPr>
        <w:t xml:space="preserve"> Грачевского муниципального округа</w:t>
      </w:r>
      <w:r w:rsidRPr="002A57E3">
        <w:rPr>
          <w:rFonts w:eastAsia="Times New Roman"/>
        </w:rPr>
        <w:t xml:space="preserve"> учтены в полном объеме.</w:t>
      </w:r>
    </w:p>
    <w:p w:rsidR="00631F39" w:rsidRPr="00E36880" w:rsidRDefault="00631F39" w:rsidP="00223A78">
      <w:pPr>
        <w:pStyle w:val="a5"/>
        <w:spacing w:before="280"/>
        <w:rPr>
          <w:rFonts w:eastAsia="Times New Roman"/>
        </w:rPr>
      </w:pPr>
      <w:r w:rsidRPr="00E36880">
        <w:rPr>
          <w:rFonts w:eastAsia="Times New Roman"/>
        </w:rPr>
        <w:t xml:space="preserve">Контрольно-счетная </w:t>
      </w:r>
      <w:r w:rsidR="001A19AB" w:rsidRPr="00E36880">
        <w:rPr>
          <w:rFonts w:eastAsia="Times New Roman"/>
        </w:rPr>
        <w:t>комиссия</w:t>
      </w:r>
      <w:r w:rsidRPr="00E36880">
        <w:rPr>
          <w:rFonts w:eastAsia="Times New Roman"/>
        </w:rPr>
        <w:t xml:space="preserve"> контролирует не только исполнение бюджета, законность использования бюджетных средств, муниципальной собственности, но и осуществляет полномочия по участию в мероприятиях, направленных на противодействие коррупции. Приоритетом в работе является </w:t>
      </w:r>
      <w:r w:rsidRPr="00E36880">
        <w:rPr>
          <w:rFonts w:eastAsia="Times New Roman"/>
        </w:rPr>
        <w:lastRenderedPageBreak/>
        <w:t>профилактика и устранение системных причин коррупции в целях повышения прозрачности бюджетной системы.</w:t>
      </w:r>
    </w:p>
    <w:p w:rsidR="004F569C" w:rsidRPr="00E36880" w:rsidRDefault="00631F39" w:rsidP="00223A78">
      <w:pPr>
        <w:pStyle w:val="a5"/>
        <w:rPr>
          <w:rFonts w:eastAsia="Times New Roman"/>
        </w:rPr>
      </w:pPr>
      <w:r w:rsidRPr="00E36880">
        <w:rPr>
          <w:rFonts w:eastAsia="Times New Roman"/>
        </w:rPr>
        <w:t xml:space="preserve"> При осуществлении контроля исполнения бюджета </w:t>
      </w:r>
      <w:r w:rsidR="001A19AB" w:rsidRPr="00E36880">
        <w:rPr>
          <w:rFonts w:eastAsia="Times New Roman"/>
        </w:rPr>
        <w:t>Грачевского муниципального округа</w:t>
      </w:r>
      <w:r w:rsidRPr="00E36880">
        <w:rPr>
          <w:rFonts w:eastAsia="Times New Roman"/>
        </w:rPr>
        <w:t xml:space="preserve">, экспертизы муниципальных правовых актов, имеющих расходные обязательства бюджета </w:t>
      </w:r>
      <w:r w:rsidR="001A19AB" w:rsidRPr="00E36880">
        <w:rPr>
          <w:rFonts w:eastAsia="Times New Roman"/>
        </w:rPr>
        <w:t>Грачевского муниципального округа</w:t>
      </w:r>
      <w:r w:rsidRPr="00E36880">
        <w:rPr>
          <w:rFonts w:eastAsia="Times New Roman"/>
        </w:rPr>
        <w:t>, в ходе проведения контрольных мероприятий дается оценка коррупционных рисков при использовании бюджетных средств муниципальными органами, главными администраторами бюджетных средств.</w:t>
      </w:r>
    </w:p>
    <w:p w:rsidR="00367DEB" w:rsidRDefault="007A5914" w:rsidP="00223A78">
      <w:pPr>
        <w:pStyle w:val="1"/>
      </w:pPr>
      <w:r>
        <w:t xml:space="preserve">Организационно-методическая </w:t>
      </w:r>
      <w:r w:rsidR="008A6F3D">
        <w:t xml:space="preserve">и </w:t>
      </w:r>
      <w:r w:rsidR="008A6F3D" w:rsidRPr="008A6F3D">
        <w:t xml:space="preserve">информационная </w:t>
      </w:r>
      <w:r w:rsidR="00083367">
        <w:br/>
      </w:r>
      <w:r w:rsidR="008A6F3D" w:rsidRPr="008A6F3D">
        <w:t>деятельность Контрольно-счетной комиссии</w:t>
      </w:r>
    </w:p>
    <w:p w:rsidR="00B531B6" w:rsidRPr="00B531B6" w:rsidRDefault="00B531B6" w:rsidP="00223A78">
      <w:pPr>
        <w:pStyle w:val="a5"/>
      </w:pPr>
      <w:r w:rsidRPr="00B531B6">
        <w:t xml:space="preserve">При осуществлении внешнего муниципального финансового контроля Контрольно-счетная </w:t>
      </w:r>
      <w:r w:rsidR="00CB6365">
        <w:t>комиссия</w:t>
      </w:r>
      <w:r w:rsidRPr="00B531B6">
        <w:t xml:space="preserve"> в своей деятельности руководствуется действующим законодательством, муниципальными правовыми актами </w:t>
      </w:r>
      <w:r w:rsidR="00CB6365" w:rsidRPr="00CB6365">
        <w:t>Грачевского муниципального округа Ставропольского края</w:t>
      </w:r>
      <w:r w:rsidRPr="00B531B6">
        <w:t xml:space="preserve">, стандартами внешнего муниципального финансового контроля. </w:t>
      </w:r>
    </w:p>
    <w:p w:rsidR="00B531B6" w:rsidRPr="002A7BF1" w:rsidRDefault="00B531B6" w:rsidP="00223A78">
      <w:pPr>
        <w:pStyle w:val="a5"/>
      </w:pPr>
      <w:r w:rsidRPr="002A7BF1">
        <w:t xml:space="preserve">В Контрольно-счетной </w:t>
      </w:r>
      <w:r w:rsidR="00CB6365" w:rsidRPr="002A7BF1">
        <w:t>комиссии</w:t>
      </w:r>
      <w:r w:rsidR="00A77442" w:rsidRPr="002A7BF1">
        <w:t xml:space="preserve"> </w:t>
      </w:r>
      <w:r w:rsidRPr="002A7BF1">
        <w:t>разработан</w:t>
      </w:r>
      <w:r w:rsidR="00CB6365" w:rsidRPr="002A7BF1">
        <w:t>о</w:t>
      </w:r>
      <w:r w:rsidRPr="002A7BF1">
        <w:t xml:space="preserve"> и утвержден</w:t>
      </w:r>
      <w:r w:rsidR="00CB6365" w:rsidRPr="002A7BF1">
        <w:t>о</w:t>
      </w:r>
      <w:r w:rsidRPr="002A7BF1">
        <w:t xml:space="preserve"> </w:t>
      </w:r>
      <w:r w:rsidR="00CB6365" w:rsidRPr="002A7BF1">
        <w:t>13</w:t>
      </w:r>
      <w:r w:rsidR="00624D4B" w:rsidRPr="002A7BF1">
        <w:t> </w:t>
      </w:r>
      <w:r w:rsidRPr="002A7BF1">
        <w:t>стандартов внешнего муниципального финансового контроля.</w:t>
      </w:r>
    </w:p>
    <w:p w:rsidR="00367DEB" w:rsidRPr="002A7BF1" w:rsidRDefault="007A5914" w:rsidP="00223A78">
      <w:pPr>
        <w:pStyle w:val="a5"/>
      </w:pPr>
      <w:r w:rsidRPr="002A7BF1">
        <w:t>Кроме того, Контрольно-счетной комиссией ведется постоянная работа по мониторингу и внедрению новых передовых методик, связанных с проведением</w:t>
      </w:r>
      <w:r w:rsidR="00A77442" w:rsidRPr="002A7BF1">
        <w:t xml:space="preserve"> </w:t>
      </w:r>
      <w:r w:rsidRPr="002A7BF1">
        <w:t>мероприятий</w:t>
      </w:r>
      <w:r w:rsidR="001A671C" w:rsidRPr="002A7BF1">
        <w:t xml:space="preserve"> внешнего муниципального финансового контроля</w:t>
      </w:r>
      <w:r w:rsidRPr="002A7BF1">
        <w:t>.</w:t>
      </w:r>
    </w:p>
    <w:p w:rsidR="008A6F3D" w:rsidRPr="002A7BF1" w:rsidRDefault="008A6F3D" w:rsidP="00223A78">
      <w:pPr>
        <w:pStyle w:val="a5"/>
      </w:pPr>
      <w:r w:rsidRPr="002A7BF1">
        <w:t xml:space="preserve">Реализуя принцип гласности, Контрольно-счетная комиссия в отчетном году проводила работу по информированию общественности о результатах своей деятельности через средства массовой информации и </w:t>
      </w:r>
      <w:proofErr w:type="spellStart"/>
      <w:r w:rsidRPr="002A7BF1">
        <w:t>интернет-ресурсы</w:t>
      </w:r>
      <w:proofErr w:type="spellEnd"/>
      <w:r w:rsidRPr="002A7BF1">
        <w:t>.</w:t>
      </w:r>
    </w:p>
    <w:p w:rsidR="002700F4" w:rsidRDefault="002700F4" w:rsidP="00223A78">
      <w:pPr>
        <w:pStyle w:val="a5"/>
      </w:pPr>
      <w:r w:rsidRPr="002A7BF1">
        <w:t>В течение 202</w:t>
      </w:r>
      <w:r w:rsidR="00492F00" w:rsidRPr="002A7BF1">
        <w:t>2</w:t>
      </w:r>
      <w:r w:rsidRPr="002A7BF1">
        <w:t xml:space="preserve"> года </w:t>
      </w:r>
      <w:r w:rsidR="003F2BBF" w:rsidRPr="002A7BF1">
        <w:t xml:space="preserve">Контрольно-счетной </w:t>
      </w:r>
      <w:r w:rsidRPr="002A7BF1">
        <w:t xml:space="preserve">комиссией на официальном сайте Совета Грачевского муниципального округа Ставропольского края: http://grachrayon-sovet.ru в разделе «Контрольно-счетная комиссия» размещено </w:t>
      </w:r>
      <w:r w:rsidR="002A7BF1" w:rsidRPr="002A7BF1">
        <w:t>23</w:t>
      </w:r>
      <w:r w:rsidRPr="002A7BF1">
        <w:t xml:space="preserve"> информационных сообщения о</w:t>
      </w:r>
      <w:r w:rsidR="00A77442" w:rsidRPr="002A7BF1">
        <w:t xml:space="preserve"> </w:t>
      </w:r>
      <w:r w:rsidR="0023190D" w:rsidRPr="002A7BF1">
        <w:t xml:space="preserve">результатах </w:t>
      </w:r>
      <w:r w:rsidRPr="002A7BF1">
        <w:t>проведенных мероприяти</w:t>
      </w:r>
      <w:r w:rsidR="003B7019" w:rsidRPr="002A7BF1">
        <w:t>й</w:t>
      </w:r>
      <w:r w:rsidR="001A671C" w:rsidRPr="002A7BF1">
        <w:t>,</w:t>
      </w:r>
      <w:r w:rsidRPr="002700F4">
        <w:t xml:space="preserve"> планы</w:t>
      </w:r>
      <w:r w:rsidR="0023190D">
        <w:t xml:space="preserve"> работы КСК</w:t>
      </w:r>
      <w:r w:rsidRPr="002700F4">
        <w:t>, отч</w:t>
      </w:r>
      <w:r>
        <w:t>е</w:t>
      </w:r>
      <w:r w:rsidRPr="002700F4">
        <w:t xml:space="preserve">ты и иные документы, касающиеся деятельности </w:t>
      </w:r>
      <w:r>
        <w:t>КСК.</w:t>
      </w:r>
    </w:p>
    <w:p w:rsidR="002700F4" w:rsidRDefault="005D78CB" w:rsidP="00223A78">
      <w:pPr>
        <w:pStyle w:val="a5"/>
      </w:pPr>
      <w:r w:rsidRPr="005D78CB">
        <w:t xml:space="preserve">Отчет о деятельности Контрольно-счетной комиссии за предшествующий год рассмотрен и принят Советом Грачевского муниципального </w:t>
      </w:r>
      <w:r w:rsidRPr="009826C3">
        <w:t xml:space="preserve">округа (решение Совета Грачевского муниципального </w:t>
      </w:r>
      <w:r w:rsidR="0051469A" w:rsidRPr="009826C3">
        <w:t>округа</w:t>
      </w:r>
      <w:r w:rsidR="003B7019" w:rsidRPr="009826C3">
        <w:t xml:space="preserve"> от </w:t>
      </w:r>
      <w:r w:rsidR="000A48AB">
        <w:t>17</w:t>
      </w:r>
      <w:r w:rsidR="003B7019" w:rsidRPr="009826C3">
        <w:t>.0</w:t>
      </w:r>
      <w:r w:rsidR="000A48AB">
        <w:t>6</w:t>
      </w:r>
      <w:r w:rsidR="003B7019" w:rsidRPr="009826C3">
        <w:t>.202</w:t>
      </w:r>
      <w:r w:rsidR="000A48AB">
        <w:t>2</w:t>
      </w:r>
      <w:r w:rsidR="003B7019" w:rsidRPr="009826C3">
        <w:t xml:space="preserve"> № </w:t>
      </w:r>
      <w:r w:rsidR="009826C3" w:rsidRPr="009826C3">
        <w:t>4</w:t>
      </w:r>
      <w:r w:rsidR="000A48AB">
        <w:t>5</w:t>
      </w:r>
      <w:r w:rsidR="003B7019" w:rsidRPr="009826C3">
        <w:t>) и</w:t>
      </w:r>
      <w:r w:rsidR="00A77442">
        <w:t xml:space="preserve"> </w:t>
      </w:r>
      <w:r w:rsidRPr="009826C3">
        <w:t>ра</w:t>
      </w:r>
      <w:r w:rsidRPr="005D78CB">
        <w:t>змещен в газете «Грачевский вестник»</w:t>
      </w:r>
      <w:r w:rsidR="000A48AB">
        <w:t xml:space="preserve"> № 6(106), 17.06.2022г</w:t>
      </w:r>
      <w:r w:rsidRPr="005D78CB">
        <w:t>.</w:t>
      </w:r>
    </w:p>
    <w:p w:rsidR="002700F4" w:rsidRPr="00F04A99" w:rsidRDefault="004D09B2" w:rsidP="00006D49">
      <w:pPr>
        <w:pStyle w:val="a5"/>
      </w:pPr>
      <w:r w:rsidRPr="00F04A99">
        <w:t>В 2022 году Контрольно-счетная комиссия принимала участие в пределах своих полномочий в мероприятиях, направленных на противодействие коррупции в соответствии с Планом мероприятий по противодействию коррупции на 2021-2023 годы</w:t>
      </w:r>
      <w:r w:rsidR="00006D49" w:rsidRPr="00F04A99">
        <w:t xml:space="preserve">,  утвержденным приказом КСК ГМО от </w:t>
      </w:r>
      <w:r w:rsidRPr="00F04A99">
        <w:t xml:space="preserve"> </w:t>
      </w:r>
      <w:r w:rsidR="00006D49" w:rsidRPr="00F04A99">
        <w:t xml:space="preserve">27.12.2021 № 77 </w:t>
      </w:r>
      <w:r w:rsidRPr="00F04A99">
        <w:t>(далее – План мероприятий по противодействию коррупции</w:t>
      </w:r>
      <w:r w:rsidR="00006D49" w:rsidRPr="00F04A99">
        <w:t>)</w:t>
      </w:r>
      <w:r w:rsidR="00C57F13" w:rsidRPr="00F04A99">
        <w:t>, сотрудниками Контрольно-счетной комиссии в установленные сроки представлены сведения о доходах, расходах, об имуществе и обязательствах имущественного характера.</w:t>
      </w:r>
    </w:p>
    <w:p w:rsidR="001D270B" w:rsidRPr="001D270B" w:rsidRDefault="001D270B" w:rsidP="00223A78">
      <w:pPr>
        <w:pStyle w:val="a5"/>
      </w:pPr>
      <w:r w:rsidRPr="001D270B">
        <w:t>Как и в предыдущие годы, деятельность Контрольно-счетн</w:t>
      </w:r>
      <w:r>
        <w:t>ой</w:t>
      </w:r>
      <w:r w:rsidRPr="001D270B">
        <w:t xml:space="preserve"> комисси</w:t>
      </w:r>
      <w:r>
        <w:t>и</w:t>
      </w:r>
      <w:r w:rsidRPr="001D270B">
        <w:t xml:space="preserve"> осуществлялась в тесном взаимодействии со всеми органами местного самоуправления, правоохранительными, финансовыми, контролирующими и </w:t>
      </w:r>
      <w:r w:rsidRPr="001D270B">
        <w:lastRenderedPageBreak/>
        <w:t>иными органами и организациями.</w:t>
      </w:r>
    </w:p>
    <w:p w:rsidR="001D270B" w:rsidRPr="001D270B" w:rsidRDefault="0055570C" w:rsidP="00223A78">
      <w:pPr>
        <w:pStyle w:val="a5"/>
      </w:pPr>
      <w:r w:rsidRPr="0055570C">
        <w:t>В течение 202</w:t>
      </w:r>
      <w:r w:rsidR="004D09B2">
        <w:t>2</w:t>
      </w:r>
      <w:r w:rsidRPr="0055570C">
        <w:t xml:space="preserve"> года сотрудники Контрольно-счетной комиссии принимали </w:t>
      </w:r>
      <w:r>
        <w:t xml:space="preserve">активное </w:t>
      </w:r>
      <w:r w:rsidRPr="0055570C">
        <w:t xml:space="preserve">участие в заседаниях </w:t>
      </w:r>
      <w:r>
        <w:t>и</w:t>
      </w:r>
      <w:r w:rsidR="001D270B" w:rsidRPr="001D270B">
        <w:t xml:space="preserve"> в работе комитетов Совета Грачевского муниципального округа Ставропольского края. </w:t>
      </w:r>
    </w:p>
    <w:p w:rsidR="001D270B" w:rsidRPr="001D270B" w:rsidRDefault="001D270B" w:rsidP="00223A78">
      <w:pPr>
        <w:pStyle w:val="a5"/>
      </w:pPr>
      <w:r w:rsidRPr="001D270B">
        <w:t>С целью взаимодействия в деле предупреждения, пресечения и выявления правонарушений, связанных с незаконным и нецелевым использованием средств, муниципального имущества, в 202</w:t>
      </w:r>
      <w:r w:rsidR="004D09B2">
        <w:t>2</w:t>
      </w:r>
      <w:r w:rsidRPr="001D270B">
        <w:t xml:space="preserve"> году Контрольно-счетная комиссия направляла материалы по результатам провед</w:t>
      </w:r>
      <w:r w:rsidR="0055570C">
        <w:t>е</w:t>
      </w:r>
      <w:r w:rsidRPr="001D270B">
        <w:t xml:space="preserve">нных проверок в </w:t>
      </w:r>
      <w:r w:rsidR="00971C29" w:rsidRPr="00971C29">
        <w:t xml:space="preserve">прокуратуру Грачевского района </w:t>
      </w:r>
      <w:r w:rsidR="00971C29">
        <w:t xml:space="preserve">Ставропольского края </w:t>
      </w:r>
      <w:r w:rsidRPr="001D270B">
        <w:t>для принятия мер реагирования.</w:t>
      </w:r>
    </w:p>
    <w:p w:rsidR="003F2BBF" w:rsidRDefault="001D270B" w:rsidP="00223A78">
      <w:pPr>
        <w:pStyle w:val="a5"/>
      </w:pPr>
      <w:r w:rsidRPr="001D270B">
        <w:t>В 202</w:t>
      </w:r>
      <w:r w:rsidR="00093698">
        <w:t>2</w:t>
      </w:r>
      <w:r w:rsidRPr="001D270B">
        <w:t xml:space="preserve"> году продолжалась работа по межрегиональному и межмуниципальному сотрудничеству с другими контрольно-сч</w:t>
      </w:r>
      <w:r w:rsidR="00971C29">
        <w:t>е</w:t>
      </w:r>
      <w:r w:rsidRPr="001D270B">
        <w:t xml:space="preserve">тными органами. </w:t>
      </w:r>
      <w:r w:rsidR="00971C29" w:rsidRPr="00971C29">
        <w:t xml:space="preserve">Контрольно-счетная комиссия </w:t>
      </w:r>
      <w:r w:rsidRPr="001D270B">
        <w:t>является членом Союза муниципальных контрольно-сч</w:t>
      </w:r>
      <w:r w:rsidR="00971C29">
        <w:t>е</w:t>
      </w:r>
      <w:r w:rsidRPr="001D270B">
        <w:t>тных органов России (СМКСО</w:t>
      </w:r>
      <w:r w:rsidR="00971C29">
        <w:t>) и</w:t>
      </w:r>
      <w:r w:rsidR="00971C29" w:rsidRPr="00971C29">
        <w:t xml:space="preserve"> </w:t>
      </w:r>
      <w:r w:rsidRPr="001D270B">
        <w:t>входит в состав Совета контрольно-сч</w:t>
      </w:r>
      <w:r w:rsidR="00971C29">
        <w:t>е</w:t>
      </w:r>
      <w:r w:rsidRPr="001D270B">
        <w:t xml:space="preserve">тных органов </w:t>
      </w:r>
      <w:r w:rsidR="00971C29">
        <w:t>при К</w:t>
      </w:r>
      <w:r w:rsidR="00971C29" w:rsidRPr="00971C29">
        <w:t>онтрольно-счетн</w:t>
      </w:r>
      <w:r w:rsidR="00971C29">
        <w:t>ой палате</w:t>
      </w:r>
      <w:r w:rsidR="00971C29" w:rsidRPr="00971C29">
        <w:t xml:space="preserve"> </w:t>
      </w:r>
      <w:r w:rsidR="00971C29">
        <w:t>Ставропольского края</w:t>
      </w:r>
      <w:r w:rsidRPr="001D270B">
        <w:t>.</w:t>
      </w:r>
    </w:p>
    <w:p w:rsidR="001D270B" w:rsidRDefault="00971C29" w:rsidP="00223A78">
      <w:pPr>
        <w:pStyle w:val="a5"/>
      </w:pPr>
      <w:r w:rsidRPr="00971C29">
        <w:t xml:space="preserve">В течение </w:t>
      </w:r>
      <w:r>
        <w:t>202</w:t>
      </w:r>
      <w:r w:rsidR="00093698">
        <w:t>2</w:t>
      </w:r>
      <w:r>
        <w:t xml:space="preserve"> </w:t>
      </w:r>
      <w:r w:rsidRPr="00971C29">
        <w:t xml:space="preserve">года Контрольно-счетная комиссия в рамках деятельности Союза муниципальных контрольно-счетных органов (МКСО) и </w:t>
      </w:r>
      <w:r w:rsidR="0055570C" w:rsidRPr="0055570C">
        <w:t xml:space="preserve">Совета контрольно-счетных органов при Контрольно-счетной палате Ставропольского края </w:t>
      </w:r>
      <w:r w:rsidRPr="00971C29">
        <w:t>принимала участие в видеоконференциях, межрегиональ</w:t>
      </w:r>
      <w:r w:rsidR="001A5695">
        <w:t xml:space="preserve">ных круглых столах, совещаниях, в </w:t>
      </w:r>
      <w:r w:rsidR="001A5695" w:rsidRPr="001A5695">
        <w:t>ходе которых обсуждались актуальные вопросы деятельности контрольно-счетных органов</w:t>
      </w:r>
      <w:r w:rsidR="0055570C">
        <w:t>.</w:t>
      </w:r>
    </w:p>
    <w:p w:rsidR="001D270B" w:rsidRDefault="003B7019" w:rsidP="00223A78">
      <w:pPr>
        <w:pStyle w:val="a5"/>
      </w:pPr>
      <w:r w:rsidRPr="003B7019">
        <w:t>Необходимым условием эффективной работы органа внешнего финансового контроля является повышение профессионального уровня специалистов</w:t>
      </w:r>
      <w:r w:rsidRPr="007A390B">
        <w:t>. В отчетном году 1 сотрудник Контрольно-счетной комиссии прошел обучение по программе профессионального развития (повышени</w:t>
      </w:r>
      <w:r w:rsidR="00093698">
        <w:t>я</w:t>
      </w:r>
      <w:r w:rsidRPr="007A390B">
        <w:t xml:space="preserve"> квалификации).</w:t>
      </w:r>
    </w:p>
    <w:p w:rsidR="008A6F3D" w:rsidRPr="00093698" w:rsidRDefault="005D459F" w:rsidP="00223A78">
      <w:pPr>
        <w:pStyle w:val="a5"/>
      </w:pPr>
      <w:r w:rsidRPr="00093698">
        <w:t>Подводя итоги деятельности Контрольно-счетной комиссии за 202</w:t>
      </w:r>
      <w:r w:rsidR="00596F01" w:rsidRPr="00093698">
        <w:t>2</w:t>
      </w:r>
      <w:r w:rsidRPr="00093698">
        <w:t xml:space="preserve"> год можно отметит</w:t>
      </w:r>
      <w:r w:rsidR="00093698" w:rsidRPr="00093698">
        <w:t>ь, что полномочия, возложенные Бюджетным кодексом РФ, Федеральным законом от 07.02.2011 года №6-ФЗ «Об общих принципах организаций и деятельности контрольно-счетных органов субъектов Российской Федерации и муниципальных образований», нормативными правовыми актами муниципального образования</w:t>
      </w:r>
      <w:r w:rsidRPr="00093698">
        <w:t xml:space="preserve"> Грачевского муниципального округа Ставропольского края, реализованы в полном объеме.</w:t>
      </w:r>
    </w:p>
    <w:p w:rsidR="00367DEB" w:rsidRDefault="007A5914" w:rsidP="00083367">
      <w:pPr>
        <w:pStyle w:val="1"/>
      </w:pPr>
      <w:r>
        <w:t xml:space="preserve">Основные направления деятельности </w:t>
      </w:r>
      <w:r w:rsidR="00223A78">
        <w:br/>
      </w:r>
      <w:r>
        <w:t xml:space="preserve">Контрольно-счетной комиссии </w:t>
      </w:r>
      <w:r w:rsidR="008A6F3D">
        <w:t>на</w:t>
      </w:r>
      <w:r>
        <w:t xml:space="preserve"> 202</w:t>
      </w:r>
      <w:r w:rsidR="00093698">
        <w:t>3</w:t>
      </w:r>
      <w:r>
        <w:t xml:space="preserve"> год</w:t>
      </w:r>
    </w:p>
    <w:p w:rsidR="00367DEB" w:rsidRDefault="00876062" w:rsidP="00223A78">
      <w:pPr>
        <w:pStyle w:val="a5"/>
      </w:pPr>
      <w:r w:rsidRPr="00474D97">
        <w:t xml:space="preserve">Основные направления </w:t>
      </w:r>
      <w:r w:rsidR="002C493F" w:rsidRPr="002C493F">
        <w:t xml:space="preserve">деятельности </w:t>
      </w:r>
      <w:r w:rsidRPr="00474D97">
        <w:t>Контрольно-счетной комиссии на 202</w:t>
      </w:r>
      <w:r w:rsidR="002C493F">
        <w:t>3</w:t>
      </w:r>
      <w:r w:rsidRPr="00474D97">
        <w:t xml:space="preserve"> год сформированы в соответствии с задачами и функциями, возложенными на </w:t>
      </w:r>
      <w:r w:rsidRPr="00454378">
        <w:t xml:space="preserve">контрольно-счетный орган </w:t>
      </w:r>
      <w:r w:rsidR="00987272" w:rsidRPr="00454378">
        <w:t>Федеральны</w:t>
      </w:r>
      <w:r w:rsidR="00EE4C3B">
        <w:t>м</w:t>
      </w:r>
      <w:r w:rsidR="00987272" w:rsidRPr="00454378">
        <w:t xml:space="preserve"> закон</w:t>
      </w:r>
      <w:r w:rsidR="00EE4C3B">
        <w:t>ом</w:t>
      </w:r>
      <w:r w:rsidR="00987272" w:rsidRPr="00454378">
        <w:t xml:space="preserve"> № 6-ФЗ </w:t>
      </w:r>
      <w:r w:rsidR="007A5914" w:rsidRPr="00454378">
        <w:t>и БК РФ</w:t>
      </w:r>
      <w:r w:rsidR="00454378" w:rsidRPr="00454378">
        <w:t>.</w:t>
      </w:r>
    </w:p>
    <w:p w:rsidR="002C493F" w:rsidRPr="002C493F" w:rsidRDefault="002C493F" w:rsidP="00223A78">
      <w:pPr>
        <w:pStyle w:val="a5"/>
        <w:rPr>
          <w:rFonts w:eastAsia="Times New Roman"/>
        </w:rPr>
      </w:pPr>
      <w:r w:rsidRPr="002C493F">
        <w:rPr>
          <w:rFonts w:eastAsia="Times New Roman"/>
        </w:rPr>
        <w:t xml:space="preserve">Приоритетным направлением деятельности </w:t>
      </w:r>
      <w:r w:rsidRPr="002C493F">
        <w:rPr>
          <w:rFonts w:eastAsia="Times New Roman"/>
          <w:bCs/>
        </w:rPr>
        <w:t xml:space="preserve">Контрольно-счетной </w:t>
      </w:r>
      <w:r>
        <w:rPr>
          <w:rFonts w:eastAsia="Times New Roman"/>
          <w:bCs/>
        </w:rPr>
        <w:t>комиссии</w:t>
      </w:r>
      <w:r w:rsidRPr="002C493F">
        <w:rPr>
          <w:rFonts w:eastAsia="Times New Roman"/>
        </w:rPr>
        <w:t xml:space="preserve"> в 2023 году, как и в предыдущие периоды, будет проведение работы по профилактике и предупреждению нарушений действующего </w:t>
      </w:r>
      <w:r w:rsidRPr="002C493F">
        <w:rPr>
          <w:rFonts w:eastAsia="Times New Roman"/>
        </w:rPr>
        <w:lastRenderedPageBreak/>
        <w:t>законодательства при расходовании бюджетных средств,</w:t>
      </w:r>
      <w:r w:rsidR="00A77442">
        <w:rPr>
          <w:rFonts w:eastAsia="Times New Roman"/>
        </w:rPr>
        <w:t xml:space="preserve"> </w:t>
      </w:r>
      <w:r w:rsidRPr="002C493F">
        <w:rPr>
          <w:rFonts w:eastAsia="Times New Roman"/>
        </w:rPr>
        <w:t xml:space="preserve">управлении и распоряжении муниципальной собственностью, совершенствование методологического и правового обеспечения деятельности </w:t>
      </w:r>
      <w:r w:rsidRPr="002C493F">
        <w:rPr>
          <w:rFonts w:eastAsia="Times New Roman"/>
          <w:bCs/>
        </w:rPr>
        <w:t xml:space="preserve">Контрольно-счетной </w:t>
      </w:r>
      <w:r>
        <w:rPr>
          <w:rFonts w:eastAsia="Times New Roman"/>
          <w:bCs/>
        </w:rPr>
        <w:t>комиссии</w:t>
      </w:r>
      <w:r w:rsidRPr="002C493F">
        <w:rPr>
          <w:rFonts w:eastAsia="Times New Roman"/>
        </w:rPr>
        <w:t xml:space="preserve">, повышение эффективности работы </w:t>
      </w:r>
      <w:r w:rsidRPr="002C493F">
        <w:rPr>
          <w:rFonts w:eastAsia="Times New Roman"/>
          <w:bCs/>
        </w:rPr>
        <w:t xml:space="preserve">Контрольно-счетной </w:t>
      </w:r>
      <w:r>
        <w:rPr>
          <w:rFonts w:eastAsia="Times New Roman"/>
          <w:bCs/>
        </w:rPr>
        <w:t>комиссии</w:t>
      </w:r>
      <w:r w:rsidRPr="002C493F">
        <w:rPr>
          <w:rFonts w:eastAsia="Times New Roman"/>
        </w:rPr>
        <w:t xml:space="preserve"> как постоянно действующего органа внешнего муниципального финансового контроля.</w:t>
      </w:r>
    </w:p>
    <w:p w:rsidR="00367DEB" w:rsidRDefault="008B7BA4" w:rsidP="00223A78">
      <w:pPr>
        <w:pStyle w:val="a5"/>
      </w:pPr>
      <w:r w:rsidRPr="00454378">
        <w:t>Важными составляющими в работе Контрольно-счетной комиссии в 202</w:t>
      </w:r>
      <w:r w:rsidR="00EE4C3B">
        <w:t>3</w:t>
      </w:r>
      <w:r w:rsidRPr="00454378">
        <w:t xml:space="preserve"> году </w:t>
      </w:r>
      <w:r w:rsidR="002C493F">
        <w:t>остаются</w:t>
      </w:r>
      <w:r w:rsidR="000A21B8" w:rsidRPr="000A21B8">
        <w:t>,</w:t>
      </w:r>
      <w:r w:rsidR="00A77442">
        <w:t xml:space="preserve"> </w:t>
      </w:r>
      <w:r w:rsidRPr="00454378">
        <w:t>дальнейшее конструктивное взаимодействие с Советом Грачевского муниципального округа Ставропольского края, главой и администрацией Грачевского муниципального округа Ставропольского края по реализации рекомендаций Контрольно-счетной комиссии, направленных на совершенствование нормативно-правовой базы, принятие мер по устранению и профилактике нарушений.</w:t>
      </w:r>
    </w:p>
    <w:p w:rsidR="007275AF" w:rsidRDefault="007275AF" w:rsidP="00223A78">
      <w:pPr>
        <w:pStyle w:val="a5"/>
      </w:pPr>
    </w:p>
    <w:p w:rsidR="007275AF" w:rsidRDefault="007275AF" w:rsidP="00223A78">
      <w:pPr>
        <w:pStyle w:val="a5"/>
      </w:pPr>
    </w:p>
    <w:p w:rsidR="007275AF" w:rsidRPr="00454378" w:rsidRDefault="007275AF" w:rsidP="007275AF">
      <w:pPr>
        <w:pStyle w:val="a5"/>
        <w:jc w:val="center"/>
      </w:pPr>
      <w:r>
        <w:t>__________________________________</w:t>
      </w:r>
      <w:bookmarkStart w:id="0" w:name="_GoBack"/>
      <w:bookmarkEnd w:id="0"/>
    </w:p>
    <w:sectPr w:rsidR="007275AF" w:rsidRPr="00454378" w:rsidSect="009E21EF">
      <w:headerReference w:type="default" r:id="rId9"/>
      <w:headerReference w:type="first" r:id="rId10"/>
      <w:pgSz w:w="11906" w:h="16838"/>
      <w:pgMar w:top="1134" w:right="567" w:bottom="1134" w:left="1701" w:header="624" w:footer="113"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D8" w:rsidRDefault="00AB7DD8">
      <w:pPr>
        <w:spacing w:after="0" w:line="240" w:lineRule="auto"/>
      </w:pPr>
      <w:r>
        <w:separator/>
      </w:r>
    </w:p>
  </w:endnote>
  <w:endnote w:type="continuationSeparator" w:id="0">
    <w:p w:rsidR="00AB7DD8" w:rsidRDefault="00AB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D8" w:rsidRDefault="00AB7DD8">
      <w:pPr>
        <w:spacing w:after="0" w:line="240" w:lineRule="auto"/>
      </w:pPr>
      <w:r>
        <w:separator/>
      </w:r>
    </w:p>
  </w:footnote>
  <w:footnote w:type="continuationSeparator" w:id="0">
    <w:p w:rsidR="00AB7DD8" w:rsidRDefault="00AB7DD8">
      <w:pPr>
        <w:spacing w:after="0" w:line="240" w:lineRule="auto"/>
      </w:pPr>
      <w:r>
        <w:continuationSeparator/>
      </w:r>
    </w:p>
  </w:footnote>
  <w:footnote w:id="1">
    <w:p w:rsidR="00006D49" w:rsidRDefault="00006D49" w:rsidP="00263F47">
      <w:pPr>
        <w:pStyle w:val="a7"/>
      </w:pPr>
      <w:r>
        <w:rPr>
          <w:rStyle w:val="a6"/>
        </w:rPr>
        <w:footnoteRef/>
      </w:r>
      <w:r>
        <w:t xml:space="preserve"> </w:t>
      </w:r>
      <w:r w:rsidRPr="00812E74">
        <w:t>Положение о Контрольно-счетной комиссии Грачевского муниципального округа Ставропольского края, утвержденного решением Совета Грачевского муниципального округа Ставро</w:t>
      </w:r>
      <w:r>
        <w:t>польского края 28 сентября 2021 </w:t>
      </w:r>
      <w:r w:rsidRPr="00812E74">
        <w:t>года №109 «О внесении изменений в решение Совета Грачевского муниципального округа Ставропольского края от 07 декабря 2020 года № 64 «Об утверждении Положения о Контрольно-счетной комиссии Грачевского муниципального округа Ставропольского края»» (далее – Положение о Контрольно-счетной комиссии)</w:t>
      </w:r>
    </w:p>
  </w:footnote>
  <w:footnote w:id="2">
    <w:p w:rsidR="00006D49" w:rsidRDefault="00006D49" w:rsidP="00263F47">
      <w:pPr>
        <w:pStyle w:val="a7"/>
      </w:pPr>
      <w:r>
        <w:rPr>
          <w:rStyle w:val="a6"/>
        </w:rPr>
        <w:footnoteRef/>
      </w:r>
      <w:r>
        <w:t xml:space="preserve"> </w:t>
      </w:r>
      <w:r w:rsidRPr="00A77442">
        <w:t>Классификатор нарушений, выявляемых в ходе внешнего государственного аудита (контроля), утвержденного Коллегией Счетной палаты РФ от 18.12.2014г (далее – Классификатор)</w:t>
      </w:r>
    </w:p>
  </w:footnote>
  <w:footnote w:id="3">
    <w:p w:rsidR="00006D49" w:rsidRDefault="00006D49">
      <w:pPr>
        <w:pStyle w:val="a7"/>
      </w:pPr>
      <w:r>
        <w:rPr>
          <w:rStyle w:val="a6"/>
        </w:rPr>
        <w:footnoteRef/>
      </w:r>
      <w:r>
        <w:t xml:space="preserve"> </w:t>
      </w:r>
      <w:r w:rsidRPr="00223A78">
        <w:t>В графе указаны только нарушения, которые имеют стоимостное выражение</w:t>
      </w:r>
    </w:p>
  </w:footnote>
  <w:footnote w:id="4">
    <w:p w:rsidR="00006D49" w:rsidRDefault="00006D49">
      <w:pPr>
        <w:pStyle w:val="a7"/>
      </w:pPr>
      <w:r>
        <w:rPr>
          <w:rStyle w:val="a6"/>
        </w:rPr>
        <w:footnoteRef/>
      </w:r>
      <w:r>
        <w:t xml:space="preserve"> Утверждена</w:t>
      </w:r>
      <w:r w:rsidRPr="00D21C95">
        <w:t xml:space="preserve"> Постановление</w:t>
      </w:r>
      <w:r>
        <w:t>м</w:t>
      </w:r>
      <w:r w:rsidRPr="00D21C95">
        <w:t xml:space="preserve"> Госстроя России от 05.03.2004 № 15/1</w:t>
      </w:r>
    </w:p>
  </w:footnote>
  <w:footnote w:id="5">
    <w:p w:rsidR="00006D49" w:rsidRDefault="00006D49">
      <w:pPr>
        <w:pStyle w:val="a7"/>
      </w:pPr>
      <w:r>
        <w:rPr>
          <w:rStyle w:val="a6"/>
        </w:rPr>
        <w:footnoteRef/>
      </w:r>
      <w:r>
        <w:t xml:space="preserve"> Утверждены </w:t>
      </w:r>
      <w:r w:rsidRPr="00D21C95">
        <w:t>Постановлением Госстроя РФ от 12.01.2004 № 6</w:t>
      </w:r>
    </w:p>
  </w:footnote>
  <w:footnote w:id="6">
    <w:p w:rsidR="00006D49" w:rsidRPr="000D2197" w:rsidRDefault="00006D49" w:rsidP="00263F47">
      <w:pPr>
        <w:pStyle w:val="a7"/>
      </w:pPr>
      <w:r w:rsidRPr="000D2197">
        <w:rPr>
          <w:rStyle w:val="a6"/>
          <w:vertAlign w:val="baseline"/>
        </w:rPr>
        <w:footnoteRef/>
      </w:r>
      <w:r w:rsidRPr="000D2197">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Инструкция №191н)</w:t>
      </w:r>
    </w:p>
  </w:footnote>
  <w:footnote w:id="7">
    <w:p w:rsidR="00006D49" w:rsidRDefault="00006D49" w:rsidP="00263F47">
      <w:pPr>
        <w:pStyle w:val="a7"/>
      </w:pPr>
      <w:r>
        <w:rPr>
          <w:rStyle w:val="a6"/>
        </w:rPr>
        <w:footnoteRef/>
      </w:r>
      <w:r>
        <w:t xml:space="preserve"> Положение</w:t>
      </w:r>
      <w:r w:rsidRPr="00CB3F97">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w:t>
      </w:r>
      <w:r>
        <w:t xml:space="preserve"> форме планов-графиков закупок", утвержденное </w:t>
      </w:r>
      <w:r w:rsidRPr="00CB3F97">
        <w:t>Постановление</w:t>
      </w:r>
      <w:r>
        <w:t>м</w:t>
      </w:r>
      <w:r w:rsidRPr="00CB3F97">
        <w:t xml:space="preserve"> Правительства РФ от 30.09.2019 </w:t>
      </w:r>
      <w:r>
        <w:t>№</w:t>
      </w:r>
      <w:r w:rsidRPr="00CB3F97">
        <w:t xml:space="preserve"> </w:t>
      </w:r>
      <w:r>
        <w:t>1279 "О </w:t>
      </w:r>
      <w:r w:rsidRPr="00CB3F97">
        <w:t>планах-графиках закупок и о признании утратившими силу отдельных решений Правительства Российской Федерации"</w:t>
      </w:r>
      <w:r>
        <w:t xml:space="preserve"> </w:t>
      </w:r>
      <w:r w:rsidRPr="00CB3F97">
        <w:t xml:space="preserve">(далее - </w:t>
      </w:r>
      <w:r>
        <w:t>Положение</w:t>
      </w:r>
      <w:r w:rsidRPr="00CB3F97">
        <w:t xml:space="preserve"> № 1279)</w:t>
      </w:r>
    </w:p>
  </w:footnote>
  <w:footnote w:id="8">
    <w:p w:rsidR="00006D49" w:rsidRDefault="00006D49" w:rsidP="00263F47">
      <w:pPr>
        <w:pStyle w:val="a7"/>
      </w:pPr>
      <w:r>
        <w:rPr>
          <w:rStyle w:val="a6"/>
        </w:rPr>
        <w:footnoteRef/>
      </w:r>
      <w:r>
        <w:t xml:space="preserve"> Правила</w:t>
      </w:r>
      <w:r w:rsidRPr="001F1D3E">
        <w:t xml:space="preserve"> ведения реестра контрактов, содержащего сведения, сост</w:t>
      </w:r>
      <w:r>
        <w:t xml:space="preserve">авляющие государственную тайну", утвержденные </w:t>
      </w:r>
      <w:r w:rsidRPr="001F1D3E">
        <w:t>Постановление</w:t>
      </w:r>
      <w:r>
        <w:t>м</w:t>
      </w:r>
      <w:r w:rsidRPr="001F1D3E">
        <w:t xml:space="preserve"> </w:t>
      </w:r>
      <w:r>
        <w:t xml:space="preserve">Правительства РФ от 28.11.2013 № 1084 </w:t>
      </w:r>
      <w:r w:rsidRPr="001F1D3E">
        <w:t>"О порядке ведения реестра контрактов, содержащего сведения, составляющие государственную тайну"</w:t>
      </w:r>
      <w:r>
        <w:t xml:space="preserve"> </w:t>
      </w:r>
      <w:r w:rsidRPr="001F1D3E">
        <w:t>(далее – Правила ведения</w:t>
      </w:r>
      <w:r>
        <w:t xml:space="preserve"> </w:t>
      </w:r>
      <w:r w:rsidRPr="001F1D3E">
        <w:t>реестра контрактов № 1084)</w:t>
      </w:r>
    </w:p>
  </w:footnote>
  <w:footnote w:id="9">
    <w:p w:rsidR="00006D49" w:rsidRDefault="00006D49" w:rsidP="00263F47">
      <w:pPr>
        <w:pStyle w:val="a7"/>
      </w:pPr>
      <w:r>
        <w:rPr>
          <w:rStyle w:val="a6"/>
        </w:rPr>
        <w:footnoteRef/>
      </w:r>
      <w:r>
        <w:t xml:space="preserve"> </w:t>
      </w:r>
      <w:r w:rsidRPr="00844269">
        <w:t>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Федерации от 17 марта 2015 г. № 238</w:t>
      </w:r>
    </w:p>
  </w:footnote>
  <w:footnote w:id="10">
    <w:p w:rsidR="00006D49" w:rsidRDefault="00006D49" w:rsidP="00263F47">
      <w:pPr>
        <w:pStyle w:val="a7"/>
      </w:pPr>
      <w:r>
        <w:rPr>
          <w:rStyle w:val="a6"/>
        </w:rPr>
        <w:footnoteRef/>
      </w:r>
      <w:r>
        <w:t xml:space="preserve"> </w:t>
      </w:r>
      <w:r w:rsidRPr="007F63D1">
        <w:t>ч. 2 ст. 30.1 Закона № 44-ФЗ,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w:t>
      </w:r>
    </w:p>
  </w:footnote>
  <w:footnote w:id="11">
    <w:p w:rsidR="00006D49" w:rsidRDefault="00006D49" w:rsidP="00263F47">
      <w:pPr>
        <w:pStyle w:val="a7"/>
      </w:pPr>
      <w:r>
        <w:rPr>
          <w:rStyle w:val="a6"/>
        </w:rPr>
        <w:footnoteRef/>
      </w:r>
      <w:r>
        <w:t xml:space="preserve"> </w:t>
      </w:r>
      <w:r w:rsidRPr="007F63D1">
        <w:t>п. 2 Правил определения требований к закупаемым органами местного самоуправления Грачевского муниципального округа Ставропольского края, органами администрации Грачевского муниципального округа Ставропольского края с правами юридического лица и подведомственными муниципальными казенными, бюджетными учреждениями Грачевского муниципального округа Ставропольского края отдельным видам товаров, работ, услуг (в том числе предельных цен товаров, работ, услуг), утвержденных постановлением администрации Грачевского муниципального округа Ставропол</w:t>
      </w:r>
      <w:r>
        <w:t>ьского края от 25.12.2020 № 49;</w:t>
      </w:r>
    </w:p>
    <w:p w:rsidR="00006D49" w:rsidRDefault="00006D49" w:rsidP="00263F47">
      <w:pPr>
        <w:pStyle w:val="a7"/>
      </w:pPr>
      <w:r w:rsidRPr="007F63D1">
        <w:t>п. 13 Требований к порядку разработки и принятия правовых актов о нормировании в сфере закупок для обеспечения муниципальных нужд Грачевского муниципального округа Ставропольского края, содержанию указанных правовых актов и обеспечению их исполнения в Грачевского муниципального округе Ставропольского края, утвержденных постановлением администрации Грачевского муниципального округа Ставропольского края от 25.12.2020 № 42</w:t>
      </w:r>
    </w:p>
  </w:footnote>
  <w:footnote w:id="12">
    <w:p w:rsidR="00006D49" w:rsidRDefault="00006D49" w:rsidP="00263F47">
      <w:pPr>
        <w:pStyle w:val="a7"/>
      </w:pPr>
      <w:r>
        <w:rPr>
          <w:rStyle w:val="a6"/>
        </w:rPr>
        <w:footnoteRef/>
      </w:r>
      <w:r>
        <w:t xml:space="preserve"> ст. 103 Закона № 44-ФЗ, пункты</w:t>
      </w:r>
      <w:r w:rsidRPr="00C876F6">
        <w:t xml:space="preserve"> 2,3 Правил ведения реестра контрактов, заключенных заказчиками, установленных постановлением Правительства РФ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(вместе с "Правилами ведения реестра контрактов, заключенных заказчиками", "Правилами ведения реестра контрактов, содержащего сведения, составляющие государственную тайну")»</w:t>
      </w:r>
    </w:p>
  </w:footnote>
  <w:footnote w:id="13">
    <w:p w:rsidR="00006D49" w:rsidRDefault="00006D49" w:rsidP="00263F47">
      <w:pPr>
        <w:pStyle w:val="a7"/>
      </w:pPr>
      <w:r>
        <w:rPr>
          <w:rStyle w:val="a6"/>
        </w:rPr>
        <w:footnoteRef/>
      </w:r>
      <w:r>
        <w:t xml:space="preserve"> </w:t>
      </w:r>
      <w:r w:rsidRPr="00C876F6">
        <w:t>Закупка у единственного поставщика (подрядчика, исполнителя) может осуществляться заказчиком</w:t>
      </w:r>
      <w:r>
        <w:t xml:space="preserve"> в случае </w:t>
      </w:r>
      <w:r w:rsidRPr="00263F47">
        <w:t>осуществление</w:t>
      </w:r>
      <w:r w:rsidRPr="00C876F6">
        <w:t xml:space="preserve"> закупки товара, работы или услуги на сумму, не превышающую шестисот тысяч рублей</w:t>
      </w:r>
      <w:r>
        <w:t xml:space="preserve"> </w:t>
      </w:r>
    </w:p>
  </w:footnote>
  <w:footnote w:id="14">
    <w:p w:rsidR="00006D49" w:rsidRDefault="00006D49" w:rsidP="00263F47">
      <w:pPr>
        <w:pStyle w:val="a7"/>
      </w:pPr>
      <w:r>
        <w:rPr>
          <w:rStyle w:val="a6"/>
        </w:rPr>
        <w:footnoteRef/>
      </w:r>
      <w:r>
        <w:t xml:space="preserve"> </w:t>
      </w:r>
      <w:r w:rsidRPr="00793EE2">
        <w:t>ч. 4 ст. 30 Закона № 44-ФЗ,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постановления Правительства Российской Федерации от 17 марта 2015 г. № 238</w:t>
      </w:r>
    </w:p>
  </w:footnote>
  <w:footnote w:id="15">
    <w:p w:rsidR="00006D49" w:rsidRDefault="00006D49" w:rsidP="00263F47">
      <w:pPr>
        <w:pStyle w:val="a7"/>
      </w:pPr>
      <w:r>
        <w:rPr>
          <w:rStyle w:val="a6"/>
        </w:rPr>
        <w:footnoteRef/>
      </w:r>
      <w:r>
        <w:t xml:space="preserve"> </w:t>
      </w:r>
      <w:r w:rsidRPr="00793EE2">
        <w:t>ч. 2 ст. 30.1 Закона № 44-ФЗ, Положения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84752"/>
      <w:docPartObj>
        <w:docPartGallery w:val="Page Numbers (Top of Page)"/>
        <w:docPartUnique/>
      </w:docPartObj>
    </w:sdtPr>
    <w:sdtEndPr>
      <w:rPr>
        <w:rFonts w:ascii="Times New Roman" w:hAnsi="Times New Roman" w:cs="Times New Roman"/>
        <w:sz w:val="24"/>
      </w:rPr>
    </w:sdtEndPr>
    <w:sdtContent>
      <w:p w:rsidR="00006D49" w:rsidRPr="009959B7" w:rsidRDefault="00006D49">
        <w:pPr>
          <w:jc w:val="center"/>
          <w:rPr>
            <w:rFonts w:ascii="Times New Roman" w:hAnsi="Times New Roman" w:cs="Times New Roman"/>
            <w:sz w:val="24"/>
          </w:rPr>
        </w:pPr>
        <w:r w:rsidRPr="009959B7">
          <w:rPr>
            <w:rFonts w:ascii="Times New Roman" w:hAnsi="Times New Roman" w:cs="Times New Roman"/>
            <w:sz w:val="24"/>
          </w:rPr>
          <w:fldChar w:fldCharType="begin"/>
        </w:r>
        <w:r w:rsidRPr="009959B7">
          <w:rPr>
            <w:rFonts w:ascii="Times New Roman" w:hAnsi="Times New Roman" w:cs="Times New Roman"/>
            <w:sz w:val="24"/>
          </w:rPr>
          <w:instrText>PAGE   \* MERGEFORMAT</w:instrText>
        </w:r>
        <w:r w:rsidRPr="009959B7">
          <w:rPr>
            <w:rFonts w:ascii="Times New Roman" w:hAnsi="Times New Roman" w:cs="Times New Roman"/>
            <w:sz w:val="24"/>
          </w:rPr>
          <w:fldChar w:fldCharType="separate"/>
        </w:r>
        <w:r w:rsidR="007275AF">
          <w:rPr>
            <w:rFonts w:ascii="Times New Roman" w:hAnsi="Times New Roman" w:cs="Times New Roman"/>
            <w:noProof/>
            <w:sz w:val="24"/>
          </w:rPr>
          <w:t>22</w:t>
        </w:r>
        <w:r w:rsidRPr="009959B7">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49" w:rsidRDefault="00006D49">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6214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3B3F88"/>
    <w:multiLevelType w:val="hybridMultilevel"/>
    <w:tmpl w:val="16CE637A"/>
    <w:lvl w:ilvl="0" w:tplc="04190005">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08D5732D"/>
    <w:multiLevelType w:val="hybridMultilevel"/>
    <w:tmpl w:val="D4E61F76"/>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
    <w:nsid w:val="0C3C1918"/>
    <w:multiLevelType w:val="multilevel"/>
    <w:tmpl w:val="629C8BE8"/>
    <w:lvl w:ilvl="0">
      <w:start w:val="1"/>
      <w:numFmt w:val="decimal"/>
      <w:lvlText w:val="%1"/>
      <w:lvlJc w:val="left"/>
      <w:pPr>
        <w:ind w:left="432" w:hanging="432"/>
      </w:pPr>
      <w:rPr>
        <w:rFonts w:hint="default"/>
      </w:rPr>
    </w:lvl>
    <w:lvl w:ilvl="1">
      <w:start w:val="1"/>
      <w:numFmt w:val="decimal"/>
      <w:pStyle w:val="2"/>
      <w:lvlText w:val="%2. "/>
      <w:lvlJc w:val="left"/>
      <w:pPr>
        <w:tabs>
          <w:tab w:val="num" w:pos="1021"/>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0E1492E"/>
    <w:multiLevelType w:val="hybridMultilevel"/>
    <w:tmpl w:val="7480B43A"/>
    <w:lvl w:ilvl="0" w:tplc="85989996">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EC151E"/>
    <w:multiLevelType w:val="hybridMultilevel"/>
    <w:tmpl w:val="1B32B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5F9F"/>
    <w:multiLevelType w:val="hybridMultilevel"/>
    <w:tmpl w:val="41A234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216955"/>
    <w:multiLevelType w:val="hybridMultilevel"/>
    <w:tmpl w:val="519C5E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34282B"/>
    <w:multiLevelType w:val="multilevel"/>
    <w:tmpl w:val="ED7C67EE"/>
    <w:lvl w:ilvl="0">
      <w:start w:val="1"/>
      <w:numFmt w:val="decimal"/>
      <w:pStyle w:val="1"/>
      <w:suff w:val="space"/>
      <w:lvlText w:val="%1. "/>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F080AAF"/>
    <w:multiLevelType w:val="hybridMultilevel"/>
    <w:tmpl w:val="06FAFD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2244C"/>
    <w:multiLevelType w:val="hybridMultilevel"/>
    <w:tmpl w:val="50B21E8E"/>
    <w:lvl w:ilvl="0" w:tplc="79C64486">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AC4159"/>
    <w:multiLevelType w:val="multilevel"/>
    <w:tmpl w:val="3A1831CE"/>
    <w:lvl w:ilvl="0">
      <w:start w:val="1"/>
      <w:numFmt w:val="decimal"/>
      <w:pStyle w:val="a"/>
      <w:lvlText w:val="%1."/>
      <w:lvlJc w:val="left"/>
      <w:pPr>
        <w:tabs>
          <w:tab w:val="num" w:pos="964"/>
        </w:tabs>
        <w:ind w:left="0" w:firstLine="709"/>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A09129A"/>
    <w:multiLevelType w:val="hybridMultilevel"/>
    <w:tmpl w:val="E8BE594E"/>
    <w:lvl w:ilvl="0" w:tplc="5FE2C410">
      <w:start w:val="1"/>
      <w:numFmt w:val="bullet"/>
      <w:pStyle w:val="a0"/>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370D5E"/>
    <w:multiLevelType w:val="hybridMultilevel"/>
    <w:tmpl w:val="BBCAB85C"/>
    <w:lvl w:ilvl="0" w:tplc="1DAA4756">
      <w:start w:val="1"/>
      <w:numFmt w:val="bullet"/>
      <w:pStyle w:val="20"/>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0B6CD5"/>
    <w:multiLevelType w:val="hybridMultilevel"/>
    <w:tmpl w:val="0D1EAAB8"/>
    <w:lvl w:ilvl="0" w:tplc="B7A83E8C">
      <w:start w:val="1"/>
      <w:numFmt w:val="bullet"/>
      <w:lvlText w:val="-"/>
      <w:lvlJc w:val="left"/>
      <w:pPr>
        <w:tabs>
          <w:tab w:val="num" w:pos="964"/>
        </w:tabs>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8BD7A34"/>
    <w:multiLevelType w:val="hybridMultilevel"/>
    <w:tmpl w:val="5B2E5A62"/>
    <w:lvl w:ilvl="0" w:tplc="81CE4A8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B74ED3"/>
    <w:multiLevelType w:val="hybridMultilevel"/>
    <w:tmpl w:val="96BC26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9"/>
  </w:num>
  <w:num w:numId="6">
    <w:abstractNumId w:val="16"/>
  </w:num>
  <w:num w:numId="7">
    <w:abstractNumId w:val="7"/>
  </w:num>
  <w:num w:numId="8">
    <w:abstractNumId w:val="1"/>
  </w:num>
  <w:num w:numId="9">
    <w:abstractNumId w:val="8"/>
  </w:num>
  <w:num w:numId="10">
    <w:abstractNumId w:val="3"/>
  </w:num>
  <w:num w:numId="11">
    <w:abstractNumId w:val="12"/>
  </w:num>
  <w:num w:numId="12">
    <w:abstractNumId w:val="14"/>
  </w:num>
  <w:num w:numId="13">
    <w:abstractNumId w:val="10"/>
  </w:num>
  <w:num w:numId="14">
    <w:abstractNumId w:val="4"/>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DEB"/>
    <w:rsid w:val="0000115A"/>
    <w:rsid w:val="000024E1"/>
    <w:rsid w:val="000027D5"/>
    <w:rsid w:val="00006D49"/>
    <w:rsid w:val="00016E90"/>
    <w:rsid w:val="00027009"/>
    <w:rsid w:val="00046BA5"/>
    <w:rsid w:val="00054C7C"/>
    <w:rsid w:val="00055679"/>
    <w:rsid w:val="0006721E"/>
    <w:rsid w:val="000718A9"/>
    <w:rsid w:val="000807F4"/>
    <w:rsid w:val="00080A99"/>
    <w:rsid w:val="00080D00"/>
    <w:rsid w:val="00083367"/>
    <w:rsid w:val="00085B79"/>
    <w:rsid w:val="000922A8"/>
    <w:rsid w:val="00093698"/>
    <w:rsid w:val="000957DD"/>
    <w:rsid w:val="000A21B8"/>
    <w:rsid w:val="000A48AB"/>
    <w:rsid w:val="000B2F0A"/>
    <w:rsid w:val="000D09AC"/>
    <w:rsid w:val="000D2197"/>
    <w:rsid w:val="000E0AA3"/>
    <w:rsid w:val="000F60C3"/>
    <w:rsid w:val="000F68A9"/>
    <w:rsid w:val="00100A96"/>
    <w:rsid w:val="00101CFB"/>
    <w:rsid w:val="00107C91"/>
    <w:rsid w:val="00114F2D"/>
    <w:rsid w:val="0012553E"/>
    <w:rsid w:val="00131F28"/>
    <w:rsid w:val="001337BC"/>
    <w:rsid w:val="00133F22"/>
    <w:rsid w:val="00135A07"/>
    <w:rsid w:val="00144C8D"/>
    <w:rsid w:val="00145675"/>
    <w:rsid w:val="001477D2"/>
    <w:rsid w:val="00147D81"/>
    <w:rsid w:val="00153D43"/>
    <w:rsid w:val="00157628"/>
    <w:rsid w:val="00163997"/>
    <w:rsid w:val="00174B30"/>
    <w:rsid w:val="00175208"/>
    <w:rsid w:val="001806A3"/>
    <w:rsid w:val="00180D70"/>
    <w:rsid w:val="00184182"/>
    <w:rsid w:val="00184C3B"/>
    <w:rsid w:val="001927D5"/>
    <w:rsid w:val="00195FB4"/>
    <w:rsid w:val="001A1724"/>
    <w:rsid w:val="001A19AB"/>
    <w:rsid w:val="001A5695"/>
    <w:rsid w:val="001A5757"/>
    <w:rsid w:val="001A671C"/>
    <w:rsid w:val="001B1C5E"/>
    <w:rsid w:val="001B1EF3"/>
    <w:rsid w:val="001B2309"/>
    <w:rsid w:val="001B731A"/>
    <w:rsid w:val="001C219C"/>
    <w:rsid w:val="001C4E5E"/>
    <w:rsid w:val="001C7C5F"/>
    <w:rsid w:val="001D270B"/>
    <w:rsid w:val="001D7FAC"/>
    <w:rsid w:val="001E1218"/>
    <w:rsid w:val="001F1C82"/>
    <w:rsid w:val="001F1FBC"/>
    <w:rsid w:val="001F7AA6"/>
    <w:rsid w:val="00205A8B"/>
    <w:rsid w:val="00207317"/>
    <w:rsid w:val="00217F39"/>
    <w:rsid w:val="00220641"/>
    <w:rsid w:val="00223A78"/>
    <w:rsid w:val="002260F1"/>
    <w:rsid w:val="00227992"/>
    <w:rsid w:val="0023190D"/>
    <w:rsid w:val="00233316"/>
    <w:rsid w:val="00244AC1"/>
    <w:rsid w:val="00247C72"/>
    <w:rsid w:val="00251879"/>
    <w:rsid w:val="002522D1"/>
    <w:rsid w:val="002548C5"/>
    <w:rsid w:val="00255BE3"/>
    <w:rsid w:val="00263029"/>
    <w:rsid w:val="00263F47"/>
    <w:rsid w:val="00266FB6"/>
    <w:rsid w:val="00267100"/>
    <w:rsid w:val="002700F4"/>
    <w:rsid w:val="0027286D"/>
    <w:rsid w:val="00272B82"/>
    <w:rsid w:val="00273F62"/>
    <w:rsid w:val="00274A52"/>
    <w:rsid w:val="002758EE"/>
    <w:rsid w:val="0028423F"/>
    <w:rsid w:val="002859D0"/>
    <w:rsid w:val="00294F6F"/>
    <w:rsid w:val="002A2025"/>
    <w:rsid w:val="002A3980"/>
    <w:rsid w:val="002A57E3"/>
    <w:rsid w:val="002A5A1E"/>
    <w:rsid w:val="002A7BF1"/>
    <w:rsid w:val="002B1158"/>
    <w:rsid w:val="002B1D73"/>
    <w:rsid w:val="002C2C46"/>
    <w:rsid w:val="002C393C"/>
    <w:rsid w:val="002C4000"/>
    <w:rsid w:val="002C493F"/>
    <w:rsid w:val="002C6651"/>
    <w:rsid w:val="002E5815"/>
    <w:rsid w:val="002E6B69"/>
    <w:rsid w:val="002E7763"/>
    <w:rsid w:val="002F6538"/>
    <w:rsid w:val="0032538F"/>
    <w:rsid w:val="00335875"/>
    <w:rsid w:val="0034036F"/>
    <w:rsid w:val="00344A23"/>
    <w:rsid w:val="003607E0"/>
    <w:rsid w:val="00367DEB"/>
    <w:rsid w:val="00367F0B"/>
    <w:rsid w:val="00370803"/>
    <w:rsid w:val="00375771"/>
    <w:rsid w:val="00376492"/>
    <w:rsid w:val="0038296E"/>
    <w:rsid w:val="003835F0"/>
    <w:rsid w:val="0039207F"/>
    <w:rsid w:val="00394B81"/>
    <w:rsid w:val="003B0429"/>
    <w:rsid w:val="003B486E"/>
    <w:rsid w:val="003B7019"/>
    <w:rsid w:val="003C20CF"/>
    <w:rsid w:val="003C72E1"/>
    <w:rsid w:val="003D17C0"/>
    <w:rsid w:val="003D2377"/>
    <w:rsid w:val="003E1BAB"/>
    <w:rsid w:val="003E2D63"/>
    <w:rsid w:val="003E5BB9"/>
    <w:rsid w:val="003E6136"/>
    <w:rsid w:val="003F2BBF"/>
    <w:rsid w:val="004161AE"/>
    <w:rsid w:val="00433C7A"/>
    <w:rsid w:val="00452E83"/>
    <w:rsid w:val="00454378"/>
    <w:rsid w:val="004572B8"/>
    <w:rsid w:val="00464037"/>
    <w:rsid w:val="0047097D"/>
    <w:rsid w:val="0047172A"/>
    <w:rsid w:val="00474D97"/>
    <w:rsid w:val="004818F6"/>
    <w:rsid w:val="00482647"/>
    <w:rsid w:val="00487760"/>
    <w:rsid w:val="00492F00"/>
    <w:rsid w:val="004A4D07"/>
    <w:rsid w:val="004B3F7C"/>
    <w:rsid w:val="004B58E8"/>
    <w:rsid w:val="004B5EFB"/>
    <w:rsid w:val="004B68E5"/>
    <w:rsid w:val="004C3A9C"/>
    <w:rsid w:val="004C4485"/>
    <w:rsid w:val="004C780D"/>
    <w:rsid w:val="004D09B2"/>
    <w:rsid w:val="004D6F9E"/>
    <w:rsid w:val="004E124B"/>
    <w:rsid w:val="004E3C94"/>
    <w:rsid w:val="004E5B6C"/>
    <w:rsid w:val="004F03A5"/>
    <w:rsid w:val="004F36BF"/>
    <w:rsid w:val="004F3DCE"/>
    <w:rsid w:val="004F569C"/>
    <w:rsid w:val="004F5D9B"/>
    <w:rsid w:val="00501C98"/>
    <w:rsid w:val="00514375"/>
    <w:rsid w:val="0051469A"/>
    <w:rsid w:val="00522370"/>
    <w:rsid w:val="00527077"/>
    <w:rsid w:val="005315BC"/>
    <w:rsid w:val="005320D8"/>
    <w:rsid w:val="00533569"/>
    <w:rsid w:val="00537CED"/>
    <w:rsid w:val="00542F1A"/>
    <w:rsid w:val="005445C2"/>
    <w:rsid w:val="00551467"/>
    <w:rsid w:val="005534CD"/>
    <w:rsid w:val="0055570C"/>
    <w:rsid w:val="00562994"/>
    <w:rsid w:val="00577137"/>
    <w:rsid w:val="005873B1"/>
    <w:rsid w:val="00590A97"/>
    <w:rsid w:val="0059574B"/>
    <w:rsid w:val="0059696D"/>
    <w:rsid w:val="00596A53"/>
    <w:rsid w:val="00596F01"/>
    <w:rsid w:val="005A5172"/>
    <w:rsid w:val="005A51AF"/>
    <w:rsid w:val="005A6186"/>
    <w:rsid w:val="005B07D6"/>
    <w:rsid w:val="005B6CFA"/>
    <w:rsid w:val="005C565B"/>
    <w:rsid w:val="005C7E38"/>
    <w:rsid w:val="005D33BC"/>
    <w:rsid w:val="005D459F"/>
    <w:rsid w:val="005D76E9"/>
    <w:rsid w:val="005D78CB"/>
    <w:rsid w:val="005F6984"/>
    <w:rsid w:val="00606560"/>
    <w:rsid w:val="00620422"/>
    <w:rsid w:val="00624D4B"/>
    <w:rsid w:val="00624E75"/>
    <w:rsid w:val="006252B5"/>
    <w:rsid w:val="00630BDA"/>
    <w:rsid w:val="00631377"/>
    <w:rsid w:val="00631F39"/>
    <w:rsid w:val="006359B3"/>
    <w:rsid w:val="00653864"/>
    <w:rsid w:val="00654746"/>
    <w:rsid w:val="00664E05"/>
    <w:rsid w:val="00665F30"/>
    <w:rsid w:val="0067481E"/>
    <w:rsid w:val="006873A8"/>
    <w:rsid w:val="006912F1"/>
    <w:rsid w:val="006B3AF2"/>
    <w:rsid w:val="006B7B43"/>
    <w:rsid w:val="006E41E8"/>
    <w:rsid w:val="006F1F47"/>
    <w:rsid w:val="007039BF"/>
    <w:rsid w:val="00705266"/>
    <w:rsid w:val="00710E00"/>
    <w:rsid w:val="00713ABC"/>
    <w:rsid w:val="007275AF"/>
    <w:rsid w:val="007348CB"/>
    <w:rsid w:val="00743489"/>
    <w:rsid w:val="0074568F"/>
    <w:rsid w:val="0074617B"/>
    <w:rsid w:val="00747303"/>
    <w:rsid w:val="00751F79"/>
    <w:rsid w:val="00753BB2"/>
    <w:rsid w:val="0075735B"/>
    <w:rsid w:val="00763D5D"/>
    <w:rsid w:val="00765A68"/>
    <w:rsid w:val="00787B16"/>
    <w:rsid w:val="007A390B"/>
    <w:rsid w:val="007A4503"/>
    <w:rsid w:val="007A5914"/>
    <w:rsid w:val="007C1D63"/>
    <w:rsid w:val="007C6D96"/>
    <w:rsid w:val="007D472E"/>
    <w:rsid w:val="007D54B1"/>
    <w:rsid w:val="007E0277"/>
    <w:rsid w:val="007E1A2D"/>
    <w:rsid w:val="007E7DE7"/>
    <w:rsid w:val="00803890"/>
    <w:rsid w:val="008048DB"/>
    <w:rsid w:val="00812E74"/>
    <w:rsid w:val="0081406D"/>
    <w:rsid w:val="00815617"/>
    <w:rsid w:val="00817754"/>
    <w:rsid w:val="00820B4B"/>
    <w:rsid w:val="0082153E"/>
    <w:rsid w:val="0082380F"/>
    <w:rsid w:val="00825711"/>
    <w:rsid w:val="008325DF"/>
    <w:rsid w:val="008427C0"/>
    <w:rsid w:val="0084696F"/>
    <w:rsid w:val="00847C7D"/>
    <w:rsid w:val="0086393E"/>
    <w:rsid w:val="008742F7"/>
    <w:rsid w:val="00876062"/>
    <w:rsid w:val="00886965"/>
    <w:rsid w:val="008935FB"/>
    <w:rsid w:val="008A151C"/>
    <w:rsid w:val="008A1847"/>
    <w:rsid w:val="008A3AE8"/>
    <w:rsid w:val="008A3F48"/>
    <w:rsid w:val="008A6DCF"/>
    <w:rsid w:val="008A6F3D"/>
    <w:rsid w:val="008B0D82"/>
    <w:rsid w:val="008B3C87"/>
    <w:rsid w:val="008B7BA4"/>
    <w:rsid w:val="008D3A02"/>
    <w:rsid w:val="008D4308"/>
    <w:rsid w:val="008D654D"/>
    <w:rsid w:val="008E1A56"/>
    <w:rsid w:val="008F3172"/>
    <w:rsid w:val="009030D5"/>
    <w:rsid w:val="00906F36"/>
    <w:rsid w:val="00911219"/>
    <w:rsid w:val="009306E3"/>
    <w:rsid w:val="0093449A"/>
    <w:rsid w:val="00937384"/>
    <w:rsid w:val="009445FB"/>
    <w:rsid w:val="00947156"/>
    <w:rsid w:val="00947B9C"/>
    <w:rsid w:val="009554A9"/>
    <w:rsid w:val="00961455"/>
    <w:rsid w:val="009618C8"/>
    <w:rsid w:val="00966A88"/>
    <w:rsid w:val="00971C29"/>
    <w:rsid w:val="0097486F"/>
    <w:rsid w:val="009826C3"/>
    <w:rsid w:val="00982DE0"/>
    <w:rsid w:val="00987272"/>
    <w:rsid w:val="00990D2E"/>
    <w:rsid w:val="009959B7"/>
    <w:rsid w:val="009C2932"/>
    <w:rsid w:val="009C6DEF"/>
    <w:rsid w:val="009D1B48"/>
    <w:rsid w:val="009D2CE3"/>
    <w:rsid w:val="009E21EF"/>
    <w:rsid w:val="009E2854"/>
    <w:rsid w:val="009E66F9"/>
    <w:rsid w:val="009E7678"/>
    <w:rsid w:val="00A05A99"/>
    <w:rsid w:val="00A06532"/>
    <w:rsid w:val="00A06D72"/>
    <w:rsid w:val="00A16662"/>
    <w:rsid w:val="00A1762D"/>
    <w:rsid w:val="00A17B5B"/>
    <w:rsid w:val="00A27357"/>
    <w:rsid w:val="00A404AB"/>
    <w:rsid w:val="00A41142"/>
    <w:rsid w:val="00A430CB"/>
    <w:rsid w:val="00A45608"/>
    <w:rsid w:val="00A50AB8"/>
    <w:rsid w:val="00A52C0C"/>
    <w:rsid w:val="00A56C36"/>
    <w:rsid w:val="00A720CB"/>
    <w:rsid w:val="00A74F20"/>
    <w:rsid w:val="00A769D4"/>
    <w:rsid w:val="00A77442"/>
    <w:rsid w:val="00A8210E"/>
    <w:rsid w:val="00A84ABC"/>
    <w:rsid w:val="00A86176"/>
    <w:rsid w:val="00AA7758"/>
    <w:rsid w:val="00AB7DD8"/>
    <w:rsid w:val="00AE0403"/>
    <w:rsid w:val="00AE2DA1"/>
    <w:rsid w:val="00AE484C"/>
    <w:rsid w:val="00AF2B70"/>
    <w:rsid w:val="00B15A7C"/>
    <w:rsid w:val="00B17439"/>
    <w:rsid w:val="00B2338C"/>
    <w:rsid w:val="00B25D77"/>
    <w:rsid w:val="00B531B6"/>
    <w:rsid w:val="00B56346"/>
    <w:rsid w:val="00B664FB"/>
    <w:rsid w:val="00B70609"/>
    <w:rsid w:val="00B7093A"/>
    <w:rsid w:val="00B720A6"/>
    <w:rsid w:val="00B84570"/>
    <w:rsid w:val="00B86487"/>
    <w:rsid w:val="00B90848"/>
    <w:rsid w:val="00BB499F"/>
    <w:rsid w:val="00BB5A4E"/>
    <w:rsid w:val="00BC3FD1"/>
    <w:rsid w:val="00BC4A1C"/>
    <w:rsid w:val="00BC6501"/>
    <w:rsid w:val="00BC66E0"/>
    <w:rsid w:val="00BC6746"/>
    <w:rsid w:val="00BE1B43"/>
    <w:rsid w:val="00BE47C1"/>
    <w:rsid w:val="00BE6CF7"/>
    <w:rsid w:val="00BF7917"/>
    <w:rsid w:val="00BF7F6A"/>
    <w:rsid w:val="00C03733"/>
    <w:rsid w:val="00C03EB1"/>
    <w:rsid w:val="00C10405"/>
    <w:rsid w:val="00C11059"/>
    <w:rsid w:val="00C124A8"/>
    <w:rsid w:val="00C173E7"/>
    <w:rsid w:val="00C20A38"/>
    <w:rsid w:val="00C2788C"/>
    <w:rsid w:val="00C51610"/>
    <w:rsid w:val="00C57F13"/>
    <w:rsid w:val="00C645D5"/>
    <w:rsid w:val="00C841A5"/>
    <w:rsid w:val="00C93CE1"/>
    <w:rsid w:val="00C94697"/>
    <w:rsid w:val="00C956B9"/>
    <w:rsid w:val="00C97799"/>
    <w:rsid w:val="00CA6EFB"/>
    <w:rsid w:val="00CB201F"/>
    <w:rsid w:val="00CB6365"/>
    <w:rsid w:val="00CC0200"/>
    <w:rsid w:val="00CC335D"/>
    <w:rsid w:val="00CC6B6B"/>
    <w:rsid w:val="00CE0D64"/>
    <w:rsid w:val="00CE3DAE"/>
    <w:rsid w:val="00CE7F4D"/>
    <w:rsid w:val="00D00776"/>
    <w:rsid w:val="00D02904"/>
    <w:rsid w:val="00D13A26"/>
    <w:rsid w:val="00D14BBE"/>
    <w:rsid w:val="00D21C95"/>
    <w:rsid w:val="00D2613A"/>
    <w:rsid w:val="00D26BBB"/>
    <w:rsid w:val="00D34E72"/>
    <w:rsid w:val="00D42A34"/>
    <w:rsid w:val="00D60FCA"/>
    <w:rsid w:val="00D70D4B"/>
    <w:rsid w:val="00D80FAD"/>
    <w:rsid w:val="00D85486"/>
    <w:rsid w:val="00D86D03"/>
    <w:rsid w:val="00D91770"/>
    <w:rsid w:val="00DB2F18"/>
    <w:rsid w:val="00DD426B"/>
    <w:rsid w:val="00DE2648"/>
    <w:rsid w:val="00DE5A27"/>
    <w:rsid w:val="00DF5507"/>
    <w:rsid w:val="00E033B6"/>
    <w:rsid w:val="00E04A71"/>
    <w:rsid w:val="00E11A2B"/>
    <w:rsid w:val="00E14F08"/>
    <w:rsid w:val="00E34B87"/>
    <w:rsid w:val="00E35E5D"/>
    <w:rsid w:val="00E36880"/>
    <w:rsid w:val="00E45022"/>
    <w:rsid w:val="00E52E5A"/>
    <w:rsid w:val="00E5379D"/>
    <w:rsid w:val="00E6115D"/>
    <w:rsid w:val="00E62B1F"/>
    <w:rsid w:val="00E648B4"/>
    <w:rsid w:val="00E73BC6"/>
    <w:rsid w:val="00E75CF6"/>
    <w:rsid w:val="00E811A8"/>
    <w:rsid w:val="00E86B40"/>
    <w:rsid w:val="00EA4DB8"/>
    <w:rsid w:val="00EB19E3"/>
    <w:rsid w:val="00EC134F"/>
    <w:rsid w:val="00EC183C"/>
    <w:rsid w:val="00EC2AF5"/>
    <w:rsid w:val="00EC2BE4"/>
    <w:rsid w:val="00EC79AB"/>
    <w:rsid w:val="00ED0031"/>
    <w:rsid w:val="00ED2516"/>
    <w:rsid w:val="00ED6920"/>
    <w:rsid w:val="00EE4C3B"/>
    <w:rsid w:val="00EF45D7"/>
    <w:rsid w:val="00F04A99"/>
    <w:rsid w:val="00F05840"/>
    <w:rsid w:val="00F22BCF"/>
    <w:rsid w:val="00F37E82"/>
    <w:rsid w:val="00F43C68"/>
    <w:rsid w:val="00F45769"/>
    <w:rsid w:val="00F7534C"/>
    <w:rsid w:val="00F8417E"/>
    <w:rsid w:val="00F87851"/>
    <w:rsid w:val="00FA3842"/>
    <w:rsid w:val="00FA5856"/>
    <w:rsid w:val="00FA5AB5"/>
    <w:rsid w:val="00FA675A"/>
    <w:rsid w:val="00FA7753"/>
    <w:rsid w:val="00FE3338"/>
    <w:rsid w:val="00FE42A3"/>
    <w:rsid w:val="00FE4CFB"/>
    <w:rsid w:val="00FE7756"/>
    <w:rsid w:val="00FE7F02"/>
    <w:rsid w:val="00FF380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D2197"/>
    <w:pPr>
      <w:spacing w:after="200" w:line="276" w:lineRule="auto"/>
    </w:pPr>
  </w:style>
  <w:style w:type="paragraph" w:styleId="1">
    <w:name w:val="heading 1"/>
    <w:basedOn w:val="a1"/>
    <w:next w:val="a1"/>
    <w:link w:val="10"/>
    <w:uiPriority w:val="9"/>
    <w:qFormat/>
    <w:rsid w:val="00A77442"/>
    <w:pPr>
      <w:keepNext/>
      <w:keepLines/>
      <w:numPr>
        <w:numId w:val="9"/>
      </w:numPr>
      <w:spacing w:before="280" w:after="280"/>
      <w:jc w:val="center"/>
      <w:outlineLvl w:val="0"/>
    </w:pPr>
    <w:rPr>
      <w:rFonts w:ascii="Times New Roman" w:eastAsiaTheme="majorEastAsia" w:hAnsi="Times New Roman" w:cstheme="majorBidi"/>
      <w:b/>
      <w:bCs/>
      <w:sz w:val="28"/>
      <w:szCs w:val="28"/>
      <w:lang w:eastAsia="en-US"/>
    </w:rPr>
  </w:style>
  <w:style w:type="paragraph" w:styleId="2">
    <w:name w:val="heading 2"/>
    <w:basedOn w:val="a1"/>
    <w:next w:val="a1"/>
    <w:link w:val="21"/>
    <w:uiPriority w:val="9"/>
    <w:unhideWhenUsed/>
    <w:qFormat/>
    <w:rsid w:val="000D2197"/>
    <w:pPr>
      <w:keepNext/>
      <w:numPr>
        <w:ilvl w:val="1"/>
        <w:numId w:val="10"/>
      </w:numPr>
      <w:spacing w:before="240" w:after="280" w:line="240" w:lineRule="auto"/>
      <w:jc w:val="both"/>
      <w:outlineLvl w:val="1"/>
    </w:pPr>
    <w:rPr>
      <w:rFonts w:ascii="Times New Roman" w:eastAsia="Times New Roman" w:hAnsi="Times New Roman" w:cs="Times New Roman"/>
      <w:b/>
      <w:bCs/>
      <w:i/>
      <w:sz w:val="28"/>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77442"/>
    <w:rPr>
      <w:rFonts w:ascii="Times New Roman" w:eastAsiaTheme="majorEastAsia" w:hAnsi="Times New Roman" w:cstheme="majorBidi"/>
      <w:b/>
      <w:bCs/>
      <w:sz w:val="28"/>
      <w:szCs w:val="28"/>
      <w:lang w:eastAsia="en-US"/>
    </w:rPr>
  </w:style>
  <w:style w:type="character" w:customStyle="1" w:styleId="21">
    <w:name w:val="Заголовок 2 Знак"/>
    <w:basedOn w:val="a2"/>
    <w:link w:val="2"/>
    <w:uiPriority w:val="9"/>
    <w:rsid w:val="000D2197"/>
    <w:rPr>
      <w:rFonts w:ascii="Times New Roman" w:eastAsia="Times New Roman" w:hAnsi="Times New Roman" w:cs="Times New Roman"/>
      <w:b/>
      <w:bCs/>
      <w:i/>
      <w:sz w:val="28"/>
      <w:szCs w:val="26"/>
      <w:lang w:eastAsia="en-US"/>
    </w:rPr>
  </w:style>
  <w:style w:type="paragraph" w:customStyle="1" w:styleId="a5">
    <w:name w:val="Основной"/>
    <w:basedOn w:val="a1"/>
    <w:qFormat/>
    <w:rsid w:val="000D2197"/>
    <w:pPr>
      <w:widowControl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a0">
    <w:name w:val="Список_тире"/>
    <w:basedOn w:val="a5"/>
    <w:next w:val="a5"/>
    <w:qFormat/>
    <w:rsid w:val="000D2197"/>
    <w:pPr>
      <w:numPr>
        <w:numId w:val="11"/>
      </w:numPr>
      <w:spacing w:before="280"/>
    </w:pPr>
    <w:rPr>
      <w:i/>
    </w:rPr>
  </w:style>
  <w:style w:type="character" w:styleId="a6">
    <w:name w:val="footnote reference"/>
    <w:basedOn w:val="a2"/>
    <w:uiPriority w:val="99"/>
    <w:semiHidden/>
    <w:unhideWhenUsed/>
    <w:rsid w:val="000D2197"/>
    <w:rPr>
      <w:vertAlign w:val="superscript"/>
    </w:rPr>
  </w:style>
  <w:style w:type="paragraph" w:customStyle="1" w:styleId="20">
    <w:name w:val="Спис_тире2"/>
    <w:basedOn w:val="a1"/>
    <w:qFormat/>
    <w:rsid w:val="000D2197"/>
    <w:pPr>
      <w:widowControl w:val="0"/>
      <w:numPr>
        <w:numId w:val="15"/>
      </w:numPr>
      <w:spacing w:after="0" w:line="240" w:lineRule="auto"/>
      <w:jc w:val="both"/>
    </w:pPr>
    <w:rPr>
      <w:rFonts w:ascii="Times New Roman" w:eastAsiaTheme="minorHAnsi" w:hAnsi="Times New Roman" w:cs="Times New Roman"/>
      <w:sz w:val="28"/>
      <w:szCs w:val="28"/>
      <w:lang w:eastAsia="en-US"/>
    </w:rPr>
  </w:style>
  <w:style w:type="paragraph" w:styleId="a7">
    <w:name w:val="footnote text"/>
    <w:basedOn w:val="a1"/>
    <w:rsid w:val="00263F47"/>
    <w:pPr>
      <w:spacing w:after="0" w:line="240" w:lineRule="auto"/>
      <w:jc w:val="both"/>
    </w:pPr>
    <w:rPr>
      <w:rFonts w:ascii="Times New Roman" w:hAnsi="Times New Roman" w:cs="Times New Roman"/>
      <w:sz w:val="20"/>
      <w:szCs w:val="20"/>
    </w:rPr>
  </w:style>
  <w:style w:type="paragraph" w:styleId="a8">
    <w:name w:val="header"/>
    <w:basedOn w:val="a1"/>
    <w:link w:val="a9"/>
    <w:uiPriority w:val="99"/>
    <w:unhideWhenUsed/>
    <w:rsid w:val="00A77442"/>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A77442"/>
  </w:style>
  <w:style w:type="paragraph" w:styleId="aa">
    <w:name w:val="footer"/>
    <w:basedOn w:val="a1"/>
    <w:link w:val="ab"/>
    <w:uiPriority w:val="99"/>
    <w:unhideWhenUsed/>
    <w:rsid w:val="00A77442"/>
    <w:pPr>
      <w:tabs>
        <w:tab w:val="center" w:pos="4677"/>
        <w:tab w:val="right" w:pos="9355"/>
      </w:tabs>
      <w:spacing w:after="0" w:line="240" w:lineRule="auto"/>
    </w:pPr>
  </w:style>
  <w:style w:type="character" w:customStyle="1" w:styleId="ab">
    <w:name w:val="Нижний колонтитул Знак"/>
    <w:basedOn w:val="a2"/>
    <w:link w:val="aa"/>
    <w:uiPriority w:val="99"/>
    <w:rsid w:val="00A77442"/>
  </w:style>
  <w:style w:type="paragraph" w:customStyle="1" w:styleId="a">
    <w:name w:val="Список_номер"/>
    <w:basedOn w:val="a5"/>
    <w:qFormat/>
    <w:rsid w:val="00223A78"/>
    <w:pPr>
      <w:numPr>
        <w:numId w:val="16"/>
      </w:numPr>
      <w:spacing w:before="240"/>
    </w:pPr>
  </w:style>
  <w:style w:type="paragraph" w:styleId="ac">
    <w:name w:val="Balloon Text"/>
    <w:basedOn w:val="a1"/>
    <w:link w:val="ad"/>
    <w:uiPriority w:val="99"/>
    <w:semiHidden/>
    <w:unhideWhenUsed/>
    <w:rsid w:val="007275AF"/>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727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D2197"/>
    <w:pPr>
      <w:spacing w:after="200" w:line="276" w:lineRule="auto"/>
    </w:pPr>
  </w:style>
  <w:style w:type="paragraph" w:styleId="1">
    <w:name w:val="heading 1"/>
    <w:basedOn w:val="a1"/>
    <w:next w:val="a1"/>
    <w:link w:val="10"/>
    <w:uiPriority w:val="9"/>
    <w:qFormat/>
    <w:rsid w:val="00A77442"/>
    <w:pPr>
      <w:keepNext/>
      <w:keepLines/>
      <w:numPr>
        <w:numId w:val="9"/>
      </w:numPr>
      <w:spacing w:before="280" w:after="280"/>
      <w:jc w:val="center"/>
      <w:outlineLvl w:val="0"/>
    </w:pPr>
    <w:rPr>
      <w:rFonts w:ascii="Times New Roman" w:eastAsiaTheme="majorEastAsia" w:hAnsi="Times New Roman" w:cstheme="majorBidi"/>
      <w:b/>
      <w:bCs/>
      <w:sz w:val="28"/>
      <w:szCs w:val="28"/>
      <w:lang w:eastAsia="en-US"/>
    </w:rPr>
  </w:style>
  <w:style w:type="paragraph" w:styleId="2">
    <w:name w:val="heading 2"/>
    <w:basedOn w:val="a1"/>
    <w:next w:val="a1"/>
    <w:link w:val="21"/>
    <w:uiPriority w:val="9"/>
    <w:unhideWhenUsed/>
    <w:qFormat/>
    <w:rsid w:val="000D2197"/>
    <w:pPr>
      <w:keepNext/>
      <w:numPr>
        <w:ilvl w:val="1"/>
        <w:numId w:val="10"/>
      </w:numPr>
      <w:spacing w:before="240" w:after="280" w:line="240" w:lineRule="auto"/>
      <w:jc w:val="both"/>
      <w:outlineLvl w:val="1"/>
    </w:pPr>
    <w:rPr>
      <w:rFonts w:ascii="Times New Roman" w:eastAsia="Times New Roman" w:hAnsi="Times New Roman" w:cs="Times New Roman"/>
      <w:b/>
      <w:bCs/>
      <w:i/>
      <w:sz w:val="28"/>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A77442"/>
    <w:rPr>
      <w:rFonts w:ascii="Times New Roman" w:eastAsiaTheme="majorEastAsia" w:hAnsi="Times New Roman" w:cstheme="majorBidi"/>
      <w:b/>
      <w:bCs/>
      <w:sz w:val="28"/>
      <w:szCs w:val="28"/>
      <w:lang w:eastAsia="en-US"/>
    </w:rPr>
  </w:style>
  <w:style w:type="character" w:customStyle="1" w:styleId="21">
    <w:name w:val="Заголовок 2 Знак"/>
    <w:basedOn w:val="a2"/>
    <w:link w:val="2"/>
    <w:uiPriority w:val="9"/>
    <w:rsid w:val="000D2197"/>
    <w:rPr>
      <w:rFonts w:ascii="Times New Roman" w:eastAsia="Times New Roman" w:hAnsi="Times New Roman" w:cs="Times New Roman"/>
      <w:b/>
      <w:bCs/>
      <w:i/>
      <w:sz w:val="28"/>
      <w:szCs w:val="26"/>
      <w:lang w:eastAsia="en-US"/>
    </w:rPr>
  </w:style>
  <w:style w:type="paragraph" w:customStyle="1" w:styleId="a5">
    <w:name w:val="Основной"/>
    <w:basedOn w:val="a1"/>
    <w:qFormat/>
    <w:rsid w:val="000D2197"/>
    <w:pPr>
      <w:widowControl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a0">
    <w:name w:val="Список_тире"/>
    <w:basedOn w:val="a5"/>
    <w:next w:val="a5"/>
    <w:qFormat/>
    <w:rsid w:val="000D2197"/>
    <w:pPr>
      <w:numPr>
        <w:numId w:val="11"/>
      </w:numPr>
      <w:spacing w:before="280"/>
    </w:pPr>
    <w:rPr>
      <w:i/>
    </w:rPr>
  </w:style>
  <w:style w:type="character" w:styleId="a6">
    <w:name w:val="footnote reference"/>
    <w:basedOn w:val="a2"/>
    <w:uiPriority w:val="99"/>
    <w:semiHidden/>
    <w:unhideWhenUsed/>
    <w:rsid w:val="000D2197"/>
    <w:rPr>
      <w:vertAlign w:val="superscript"/>
    </w:rPr>
  </w:style>
  <w:style w:type="paragraph" w:customStyle="1" w:styleId="20">
    <w:name w:val="Спис_тире2"/>
    <w:basedOn w:val="a1"/>
    <w:qFormat/>
    <w:rsid w:val="000D2197"/>
    <w:pPr>
      <w:widowControl w:val="0"/>
      <w:numPr>
        <w:numId w:val="15"/>
      </w:numPr>
      <w:spacing w:after="0" w:line="240" w:lineRule="auto"/>
      <w:jc w:val="both"/>
    </w:pPr>
    <w:rPr>
      <w:rFonts w:ascii="Times New Roman" w:eastAsiaTheme="minorHAnsi" w:hAnsi="Times New Roman" w:cs="Times New Roman"/>
      <w:sz w:val="28"/>
      <w:szCs w:val="28"/>
      <w:lang w:eastAsia="en-US"/>
    </w:rPr>
  </w:style>
  <w:style w:type="paragraph" w:styleId="a7">
    <w:name w:val="footnote text"/>
    <w:basedOn w:val="a1"/>
    <w:rsid w:val="00263F47"/>
    <w:pPr>
      <w:spacing w:after="0" w:line="240" w:lineRule="auto"/>
      <w:jc w:val="both"/>
    </w:pPr>
    <w:rPr>
      <w:rFonts w:ascii="Times New Roman" w:hAnsi="Times New Roman" w:cs="Times New Roman"/>
      <w:sz w:val="20"/>
      <w:szCs w:val="20"/>
    </w:rPr>
  </w:style>
  <w:style w:type="paragraph" w:styleId="a8">
    <w:name w:val="header"/>
    <w:basedOn w:val="a1"/>
    <w:link w:val="a9"/>
    <w:uiPriority w:val="99"/>
    <w:unhideWhenUsed/>
    <w:rsid w:val="00A77442"/>
    <w:pPr>
      <w:tabs>
        <w:tab w:val="center" w:pos="4677"/>
        <w:tab w:val="right" w:pos="9355"/>
      </w:tabs>
      <w:spacing w:after="0" w:line="240" w:lineRule="auto"/>
    </w:pPr>
  </w:style>
  <w:style w:type="character" w:customStyle="1" w:styleId="a9">
    <w:name w:val="Верхний колонтитул Знак"/>
    <w:basedOn w:val="a2"/>
    <w:link w:val="a8"/>
    <w:uiPriority w:val="99"/>
    <w:rsid w:val="00A77442"/>
  </w:style>
  <w:style w:type="paragraph" w:styleId="aa">
    <w:name w:val="footer"/>
    <w:basedOn w:val="a1"/>
    <w:link w:val="ab"/>
    <w:uiPriority w:val="99"/>
    <w:unhideWhenUsed/>
    <w:rsid w:val="00A77442"/>
    <w:pPr>
      <w:tabs>
        <w:tab w:val="center" w:pos="4677"/>
        <w:tab w:val="right" w:pos="9355"/>
      </w:tabs>
      <w:spacing w:after="0" w:line="240" w:lineRule="auto"/>
    </w:pPr>
  </w:style>
  <w:style w:type="character" w:customStyle="1" w:styleId="ab">
    <w:name w:val="Нижний колонтитул Знак"/>
    <w:basedOn w:val="a2"/>
    <w:link w:val="aa"/>
    <w:uiPriority w:val="99"/>
    <w:rsid w:val="00A77442"/>
  </w:style>
  <w:style w:type="paragraph" w:customStyle="1" w:styleId="a">
    <w:name w:val="Список_номер"/>
    <w:basedOn w:val="a5"/>
    <w:qFormat/>
    <w:rsid w:val="00223A78"/>
    <w:pPr>
      <w:numPr>
        <w:numId w:val="16"/>
      </w:numPr>
      <w:spacing w:before="240"/>
    </w:pPr>
  </w:style>
  <w:style w:type="paragraph" w:styleId="ac">
    <w:name w:val="Balloon Text"/>
    <w:basedOn w:val="a1"/>
    <w:link w:val="ad"/>
    <w:uiPriority w:val="99"/>
    <w:semiHidden/>
    <w:unhideWhenUsed/>
    <w:rsid w:val="007275AF"/>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727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902">
      <w:bodyDiv w:val="1"/>
      <w:marLeft w:val="0"/>
      <w:marRight w:val="0"/>
      <w:marTop w:val="0"/>
      <w:marBottom w:val="0"/>
      <w:divBdr>
        <w:top w:val="none" w:sz="0" w:space="0" w:color="auto"/>
        <w:left w:val="none" w:sz="0" w:space="0" w:color="auto"/>
        <w:bottom w:val="none" w:sz="0" w:space="0" w:color="auto"/>
        <w:right w:val="none" w:sz="0" w:space="0" w:color="auto"/>
      </w:divBdr>
    </w:div>
    <w:div w:id="281115380">
      <w:bodyDiv w:val="1"/>
      <w:marLeft w:val="0"/>
      <w:marRight w:val="0"/>
      <w:marTop w:val="0"/>
      <w:marBottom w:val="0"/>
      <w:divBdr>
        <w:top w:val="none" w:sz="0" w:space="0" w:color="auto"/>
        <w:left w:val="none" w:sz="0" w:space="0" w:color="auto"/>
        <w:bottom w:val="none" w:sz="0" w:space="0" w:color="auto"/>
        <w:right w:val="none" w:sz="0" w:space="0" w:color="auto"/>
      </w:divBdr>
    </w:div>
    <w:div w:id="1688406169">
      <w:bodyDiv w:val="1"/>
      <w:marLeft w:val="0"/>
      <w:marRight w:val="0"/>
      <w:marTop w:val="0"/>
      <w:marBottom w:val="0"/>
      <w:divBdr>
        <w:top w:val="none" w:sz="0" w:space="0" w:color="auto"/>
        <w:left w:val="none" w:sz="0" w:space="0" w:color="auto"/>
        <w:bottom w:val="none" w:sz="0" w:space="0" w:color="auto"/>
        <w:right w:val="none" w:sz="0" w:space="0" w:color="auto"/>
      </w:divBdr>
    </w:div>
    <w:div w:id="2097361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0FA80-A0A7-41A0-BE22-8DF8FFBE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22</Pages>
  <Words>7319</Words>
  <Characters>41719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CITYLINE27</cp:lastModifiedBy>
  <cp:revision>112</cp:revision>
  <cp:lastPrinted>2023-06-26T16:12:00Z</cp:lastPrinted>
  <dcterms:created xsi:type="dcterms:W3CDTF">2021-04-14T12:57:00Z</dcterms:created>
  <dcterms:modified xsi:type="dcterms:W3CDTF">2023-06-26T16:12:00Z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