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3F11E2" w:rsidRDefault="00DA6E82" w:rsidP="003F11E2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bookmarkStart w:id="0" w:name="_GoBack"/>
            <w:r w:rsidRPr="003F11E2">
              <w:rPr>
                <w:rFonts w:ascii="Times New Roman" w:hAnsi="Times New Roman"/>
                <w:b w:val="0"/>
                <w:color w:val="000000" w:themeColor="text1"/>
              </w:rPr>
              <w:t>к решени</w:t>
            </w:r>
            <w:r w:rsidR="003F11E2" w:rsidRPr="003F11E2">
              <w:rPr>
                <w:rFonts w:ascii="Times New Roman" w:hAnsi="Times New Roman"/>
                <w:b w:val="0"/>
                <w:color w:val="000000" w:themeColor="text1"/>
              </w:rPr>
              <w:t>ю</w:t>
            </w:r>
            <w:r w:rsidRPr="003F11E2">
              <w:rPr>
                <w:rFonts w:ascii="Times New Roman" w:hAnsi="Times New Roman"/>
                <w:b w:val="0"/>
                <w:color w:val="000000" w:themeColor="text1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3F11E2" w:rsidRPr="003F11E2" w:rsidRDefault="003F11E2" w:rsidP="003F11E2">
            <w:r w:rsidRPr="003F11E2">
              <w:rPr>
                <w:rFonts w:ascii="Times New Roman" w:hAnsi="Times New Roman" w:cs="Times New Roman"/>
                <w:sz w:val="28"/>
                <w:szCs w:val="28"/>
              </w:rPr>
              <w:t>от 23 апреля 2025 г. № 36</w:t>
            </w:r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3F11E2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63A9F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1AC9-68C5-422F-86FE-55243393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99</cp:revision>
  <cp:lastPrinted>2020-11-12T14:33:00Z</cp:lastPrinted>
  <dcterms:created xsi:type="dcterms:W3CDTF">2013-11-14T10:44:00Z</dcterms:created>
  <dcterms:modified xsi:type="dcterms:W3CDTF">2025-04-21T11:27:00Z</dcterms:modified>
</cp:coreProperties>
</file>