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B0" w:rsidRDefault="00C670B0" w:rsidP="00C670B0">
      <w:pPr>
        <w:pStyle w:val="2"/>
        <w:ind w:left="284" w:right="-284"/>
      </w:pPr>
      <w:r>
        <w:t>отчет</w:t>
      </w:r>
    </w:p>
    <w:p w:rsidR="00755BA0" w:rsidRDefault="00FD7008" w:rsidP="00FD7008">
      <w:pPr>
        <w:pStyle w:val="2"/>
        <w:ind w:left="284" w:right="-1"/>
      </w:pPr>
      <w:r>
        <w:t>о результатах экспертно-аналитического мероприятия «</w:t>
      </w:r>
      <w:r w:rsidR="0029535F" w:rsidRPr="0029535F">
        <w:t>Оперативный анализ исполнения бюджета  Грачевского муниципального округа Ставропольского края за I полугодие 2021 года</w:t>
      </w:r>
      <w:r w:rsidR="003E6818" w:rsidRPr="003E6818">
        <w:t>»</w:t>
      </w:r>
    </w:p>
    <w:p w:rsidR="00755BA0" w:rsidRPr="00DB6EAA" w:rsidRDefault="00755BA0" w:rsidP="00755BA0">
      <w:pPr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16"/>
        <w:gridCol w:w="3398"/>
      </w:tblGrid>
      <w:tr w:rsidR="00755BA0" w:rsidRPr="00ED0F1B" w:rsidTr="00E377D2">
        <w:trPr>
          <w:trHeight w:val="256"/>
        </w:trPr>
        <w:tc>
          <w:tcPr>
            <w:tcW w:w="3240" w:type="dxa"/>
          </w:tcPr>
          <w:p w:rsidR="00755BA0" w:rsidRPr="00ED0F1B" w:rsidRDefault="00755BA0" w:rsidP="00E377D2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755BA0" w:rsidRPr="00ED0F1B" w:rsidRDefault="00755BA0" w:rsidP="00E377D2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755BA0" w:rsidRPr="00ED0F1B" w:rsidRDefault="00AD24B3" w:rsidP="00C22EA9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C22EA9">
              <w:rPr>
                <w:rFonts w:ascii="Times New Roman" w:hAnsi="Times New Roman" w:cs="Times New Roman"/>
                <w:sz w:val="28"/>
              </w:rPr>
              <w:t>8</w:t>
            </w:r>
            <w:r w:rsidR="00755BA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22EA9">
              <w:rPr>
                <w:rFonts w:ascii="Times New Roman" w:hAnsi="Times New Roman" w:cs="Times New Roman"/>
                <w:sz w:val="28"/>
              </w:rPr>
              <w:t>августа</w:t>
            </w:r>
            <w:r w:rsidR="00755BA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55BA0" w:rsidRPr="00ED0F1B">
              <w:rPr>
                <w:rFonts w:ascii="Times New Roman" w:hAnsi="Times New Roman" w:cs="Times New Roman"/>
                <w:sz w:val="28"/>
              </w:rPr>
              <w:t>20</w:t>
            </w:r>
            <w:r w:rsidR="003E6818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755BA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55BA0" w:rsidRPr="00ED0F1B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755BA0" w:rsidRDefault="00755BA0" w:rsidP="00755B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818" w:rsidRDefault="00755BA0" w:rsidP="003E681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3B6">
        <w:rPr>
          <w:rFonts w:ascii="Times New Roman" w:hAnsi="Times New Roman" w:cs="Times New Roman"/>
          <w:sz w:val="28"/>
          <w:szCs w:val="28"/>
        </w:rPr>
        <w:t>Основание для проведения экспертно-аналитического мероприятия</w:t>
      </w:r>
      <w:r w:rsidR="0078457E">
        <w:rPr>
          <w:rFonts w:ascii="Times New Roman" w:hAnsi="Times New Roman" w:cs="Times New Roman"/>
          <w:sz w:val="28"/>
          <w:szCs w:val="28"/>
        </w:rPr>
        <w:t xml:space="preserve">: </w:t>
      </w:r>
      <w:r w:rsidR="00FD7008" w:rsidRPr="00FD7008">
        <w:rPr>
          <w:rFonts w:ascii="Times New Roman" w:hAnsi="Times New Roman" w:cs="Times New Roman"/>
          <w:sz w:val="28"/>
          <w:szCs w:val="28"/>
        </w:rPr>
        <w:t xml:space="preserve">ч.2 статьи 9 Федерального закона от 07.02.2011 г. №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="0074688C" w:rsidRPr="0074688C">
        <w:rPr>
          <w:rFonts w:ascii="Times New Roman" w:hAnsi="Times New Roman" w:cs="Times New Roman"/>
          <w:sz w:val="28"/>
          <w:szCs w:val="28"/>
        </w:rPr>
        <w:t xml:space="preserve">п. 12 Положения о бюджетном процессе в </w:t>
      </w:r>
      <w:proofErr w:type="spellStart"/>
      <w:r w:rsidR="0074688C" w:rsidRPr="0074688C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74688C" w:rsidRPr="0074688C">
        <w:rPr>
          <w:rFonts w:ascii="Times New Roman" w:hAnsi="Times New Roman" w:cs="Times New Roman"/>
          <w:sz w:val="28"/>
          <w:szCs w:val="28"/>
        </w:rPr>
        <w:t xml:space="preserve"> муниципальном округе Ставропольского края, ст. 8 Положения о Контрольно-счетной комиссии Грачевского муниципального округа Ставропольского края, утвержденного решением Совета Грачевского муниципального округа Ставропольского края</w:t>
      </w:r>
      <w:proofErr w:type="gramEnd"/>
      <w:r w:rsidR="0074688C" w:rsidRPr="0074688C">
        <w:rPr>
          <w:rFonts w:ascii="Times New Roman" w:hAnsi="Times New Roman" w:cs="Times New Roman"/>
          <w:sz w:val="28"/>
          <w:szCs w:val="28"/>
        </w:rPr>
        <w:t xml:space="preserve"> от 07.12.2020 № 64</w:t>
      </w:r>
      <w:r w:rsidR="0074688C">
        <w:rPr>
          <w:rFonts w:ascii="Times New Roman" w:hAnsi="Times New Roman" w:cs="Times New Roman"/>
          <w:sz w:val="28"/>
          <w:szCs w:val="28"/>
        </w:rPr>
        <w:t>, п. 1.5</w:t>
      </w:r>
      <w:r w:rsidR="00FD7008" w:rsidRPr="00FD7008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комиссии Грачевского муниципального </w:t>
      </w:r>
      <w:r w:rsidR="004B2D43">
        <w:rPr>
          <w:rFonts w:ascii="Times New Roman" w:hAnsi="Times New Roman" w:cs="Times New Roman"/>
          <w:sz w:val="28"/>
          <w:szCs w:val="28"/>
        </w:rPr>
        <w:t>округа</w:t>
      </w:r>
      <w:r w:rsidR="00FD7008" w:rsidRPr="00FD7008">
        <w:rPr>
          <w:rFonts w:ascii="Times New Roman" w:hAnsi="Times New Roman" w:cs="Times New Roman"/>
          <w:sz w:val="28"/>
          <w:szCs w:val="28"/>
        </w:rPr>
        <w:t xml:space="preserve"> Ст</w:t>
      </w:r>
      <w:r w:rsidR="0074688C">
        <w:rPr>
          <w:rFonts w:ascii="Times New Roman" w:hAnsi="Times New Roman" w:cs="Times New Roman"/>
          <w:sz w:val="28"/>
          <w:szCs w:val="28"/>
        </w:rPr>
        <w:t>авропольского края на 202</w:t>
      </w:r>
      <w:r w:rsidR="00AD24B3">
        <w:rPr>
          <w:rFonts w:ascii="Times New Roman" w:hAnsi="Times New Roman" w:cs="Times New Roman"/>
          <w:sz w:val="28"/>
          <w:szCs w:val="28"/>
        </w:rPr>
        <w:t>2</w:t>
      </w:r>
      <w:r w:rsidR="0074688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55BA0" w:rsidRPr="00ED0F1B" w:rsidRDefault="00755BA0" w:rsidP="003E681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0A2240" w:rsidRPr="000A2240" w:rsidRDefault="000A2240" w:rsidP="000A2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240">
        <w:rPr>
          <w:rFonts w:ascii="Times New Roman" w:eastAsia="Times New Roman" w:hAnsi="Times New Roman" w:cs="Times New Roman"/>
          <w:sz w:val="28"/>
          <w:szCs w:val="28"/>
        </w:rPr>
        <w:t>- определение полноты и своевременности поступления денежных средств и их расходования в ходе исполнения бюджета;</w:t>
      </w:r>
    </w:p>
    <w:p w:rsidR="000A2240" w:rsidRPr="000A2240" w:rsidRDefault="000A2240" w:rsidP="000A2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240">
        <w:rPr>
          <w:rFonts w:ascii="Times New Roman" w:eastAsia="Times New Roman" w:hAnsi="Times New Roman" w:cs="Times New Roman"/>
          <w:sz w:val="28"/>
          <w:szCs w:val="28"/>
        </w:rPr>
        <w:t>- определение объема и структуры муниципального долга, размера дефицита (профицита) бюджета, источников финансирования дефицита бюджета;</w:t>
      </w:r>
    </w:p>
    <w:p w:rsidR="000A2240" w:rsidRPr="000A2240" w:rsidRDefault="000A2240" w:rsidP="000A2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240">
        <w:rPr>
          <w:rFonts w:ascii="Times New Roman" w:eastAsia="Times New Roman" w:hAnsi="Times New Roman" w:cs="Times New Roman"/>
          <w:sz w:val="28"/>
          <w:szCs w:val="28"/>
        </w:rPr>
        <w:t>- проведение анализа фактических показателей и сравнения их с показателями, утвержденными решением о бюджете на очередной финансовый год и плановый период (с последующими изменениями), сводной бюджетной росписью расходов бюджета и источников финансирования дефицита бюджета,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  <w:proofErr w:type="gramEnd"/>
    </w:p>
    <w:p w:rsidR="000A2240" w:rsidRPr="000A2240" w:rsidRDefault="000A2240" w:rsidP="000A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240">
        <w:rPr>
          <w:rFonts w:ascii="Times New Roman" w:eastAsia="Times New Roman" w:hAnsi="Times New Roman" w:cs="Times New Roman"/>
          <w:sz w:val="28"/>
          <w:szCs w:val="28"/>
        </w:rPr>
        <w:t>- выявление нарушений в ходе исполнения бюджета, внесение предложений по их устранению.</w:t>
      </w:r>
    </w:p>
    <w:p w:rsidR="00755BA0" w:rsidRPr="00ED0F1B" w:rsidRDefault="00755BA0" w:rsidP="00C670B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Предмет экспертно-аналитического мероприятия: </w:t>
      </w:r>
      <w:r w:rsidR="00FD7008" w:rsidRPr="00FD7008">
        <w:rPr>
          <w:rFonts w:ascii="Times New Roman" w:hAnsi="Times New Roman" w:cs="Times New Roman"/>
          <w:sz w:val="28"/>
          <w:szCs w:val="28"/>
        </w:rPr>
        <w:t xml:space="preserve">отчет об исполнении бюджета  Грачевского муниципального </w:t>
      </w:r>
      <w:r w:rsidR="0074688C">
        <w:rPr>
          <w:rFonts w:ascii="Times New Roman" w:hAnsi="Times New Roman" w:cs="Times New Roman"/>
          <w:sz w:val="28"/>
          <w:szCs w:val="28"/>
        </w:rPr>
        <w:t>округа</w:t>
      </w:r>
      <w:r w:rsidR="00FD7008">
        <w:rPr>
          <w:rFonts w:ascii="Times New Roman" w:hAnsi="Times New Roman" w:cs="Times New Roman"/>
          <w:sz w:val="28"/>
          <w:szCs w:val="28"/>
        </w:rPr>
        <w:t xml:space="preserve"> Ставропольского края за </w:t>
      </w:r>
      <w:r w:rsidR="007468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688C">
        <w:rPr>
          <w:rFonts w:ascii="Times New Roman" w:hAnsi="Times New Roman" w:cs="Times New Roman"/>
          <w:sz w:val="28"/>
          <w:szCs w:val="28"/>
        </w:rPr>
        <w:t> </w:t>
      </w:r>
      <w:r w:rsidR="00C22EA9">
        <w:rPr>
          <w:rFonts w:ascii="Times New Roman" w:hAnsi="Times New Roman" w:cs="Times New Roman"/>
          <w:sz w:val="28"/>
          <w:szCs w:val="28"/>
        </w:rPr>
        <w:t>полугодие</w:t>
      </w:r>
      <w:r w:rsidR="0074688C">
        <w:rPr>
          <w:rFonts w:ascii="Times New Roman" w:hAnsi="Times New Roman" w:cs="Times New Roman"/>
          <w:sz w:val="28"/>
          <w:szCs w:val="28"/>
        </w:rPr>
        <w:t xml:space="preserve"> </w:t>
      </w:r>
      <w:r w:rsidR="00FD7008" w:rsidRPr="00FD7008">
        <w:rPr>
          <w:rFonts w:ascii="Times New Roman" w:hAnsi="Times New Roman" w:cs="Times New Roman"/>
          <w:sz w:val="28"/>
          <w:szCs w:val="28"/>
        </w:rPr>
        <w:t>202</w:t>
      </w:r>
      <w:r w:rsidR="00AD24B3">
        <w:rPr>
          <w:rFonts w:ascii="Times New Roman" w:hAnsi="Times New Roman" w:cs="Times New Roman"/>
          <w:sz w:val="28"/>
          <w:szCs w:val="28"/>
        </w:rPr>
        <w:t>2</w:t>
      </w:r>
      <w:r w:rsidR="00FD7008" w:rsidRPr="00FD70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2240" w:rsidRPr="000A2240">
        <w:rPr>
          <w:rFonts w:ascii="Times New Roman" w:hAnsi="Times New Roman" w:cs="Times New Roman"/>
          <w:sz w:val="28"/>
          <w:szCs w:val="28"/>
        </w:rPr>
        <w:t>.</w:t>
      </w:r>
      <w:r w:rsidR="000A224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55BA0" w:rsidRPr="00ED0F1B" w:rsidRDefault="00755BA0" w:rsidP="00755B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Объект экспертно-аналитического мероприятия: </w:t>
      </w:r>
      <w:r w:rsidR="00C670B0" w:rsidRPr="00C670B0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Грачевского муниципального </w:t>
      </w:r>
      <w:r w:rsidR="0074688C">
        <w:rPr>
          <w:rFonts w:ascii="Times New Roman" w:hAnsi="Times New Roman" w:cs="Times New Roman"/>
          <w:sz w:val="28"/>
          <w:szCs w:val="28"/>
        </w:rPr>
        <w:t>округа</w:t>
      </w:r>
      <w:r w:rsidR="00C670B0" w:rsidRPr="00C670B0">
        <w:rPr>
          <w:rFonts w:ascii="Times New Roman" w:hAnsi="Times New Roman" w:cs="Times New Roman"/>
          <w:sz w:val="28"/>
          <w:szCs w:val="28"/>
        </w:rPr>
        <w:t xml:space="preserve">, как орган, организующий исполнение бюджета Грачевского муниципального </w:t>
      </w:r>
      <w:r w:rsidR="004B2D43">
        <w:rPr>
          <w:rFonts w:ascii="Times New Roman" w:hAnsi="Times New Roman" w:cs="Times New Roman"/>
          <w:sz w:val="28"/>
          <w:szCs w:val="28"/>
        </w:rPr>
        <w:t>округа</w:t>
      </w:r>
      <w:r w:rsidR="00C670B0" w:rsidRPr="00C670B0">
        <w:rPr>
          <w:rFonts w:ascii="Times New Roman" w:hAnsi="Times New Roman" w:cs="Times New Roman"/>
          <w:sz w:val="28"/>
          <w:szCs w:val="28"/>
        </w:rPr>
        <w:t xml:space="preserve"> (далее – финансовое управление)</w:t>
      </w:r>
      <w:r w:rsidR="00C670B0">
        <w:rPr>
          <w:rFonts w:ascii="Times New Roman" w:hAnsi="Times New Roman" w:cs="Times New Roman"/>
          <w:sz w:val="28"/>
          <w:szCs w:val="28"/>
        </w:rPr>
        <w:t>.</w:t>
      </w:r>
    </w:p>
    <w:p w:rsidR="000A2240" w:rsidRDefault="00755BA0" w:rsidP="00755B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Проверяемый  период: </w:t>
      </w:r>
      <w:proofErr w:type="gramStart"/>
      <w:r w:rsidR="00AD24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24B3" w:rsidRPr="00AD24B3">
        <w:rPr>
          <w:rFonts w:ascii="Times New Roman" w:hAnsi="Times New Roman" w:cs="Times New Roman"/>
          <w:sz w:val="28"/>
          <w:szCs w:val="28"/>
        </w:rPr>
        <w:t xml:space="preserve"> </w:t>
      </w:r>
      <w:r w:rsidR="00C22EA9">
        <w:rPr>
          <w:rFonts w:ascii="Times New Roman" w:hAnsi="Times New Roman" w:cs="Times New Roman"/>
          <w:sz w:val="28"/>
          <w:szCs w:val="28"/>
        </w:rPr>
        <w:t>полугодие</w:t>
      </w:r>
      <w:r w:rsidR="0074688C" w:rsidRPr="0074688C">
        <w:rPr>
          <w:rFonts w:ascii="Times New Roman" w:hAnsi="Times New Roman" w:cs="Times New Roman"/>
          <w:sz w:val="28"/>
          <w:szCs w:val="28"/>
        </w:rPr>
        <w:t xml:space="preserve"> 202</w:t>
      </w:r>
      <w:r w:rsidR="00AD24B3">
        <w:rPr>
          <w:rFonts w:ascii="Times New Roman" w:hAnsi="Times New Roman" w:cs="Times New Roman"/>
          <w:sz w:val="28"/>
          <w:szCs w:val="28"/>
        </w:rPr>
        <w:t>2</w:t>
      </w:r>
      <w:r w:rsidR="0074688C" w:rsidRPr="0074688C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2240" w:rsidRPr="000A22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70B0" w:rsidRDefault="00755BA0" w:rsidP="000A2240">
      <w:pPr>
        <w:spacing w:after="0" w:line="240" w:lineRule="auto"/>
        <w:ind w:right="-1" w:firstLine="708"/>
        <w:jc w:val="both"/>
        <w:rPr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Срок  проведения экспертно-аналитического мероприятия: </w:t>
      </w:r>
      <w:r w:rsidR="00FD7008">
        <w:rPr>
          <w:rFonts w:ascii="Times New Roman" w:hAnsi="Times New Roman" w:cs="Times New Roman"/>
          <w:sz w:val="28"/>
          <w:szCs w:val="28"/>
        </w:rPr>
        <w:t xml:space="preserve">с </w:t>
      </w:r>
      <w:r w:rsidR="00AD24B3">
        <w:rPr>
          <w:rFonts w:ascii="Times New Roman" w:hAnsi="Times New Roman" w:cs="Times New Roman"/>
          <w:sz w:val="28"/>
          <w:szCs w:val="28"/>
        </w:rPr>
        <w:t>11</w:t>
      </w:r>
      <w:r w:rsidR="0074688C">
        <w:rPr>
          <w:rFonts w:ascii="Times New Roman" w:hAnsi="Times New Roman" w:cs="Times New Roman"/>
          <w:sz w:val="28"/>
          <w:szCs w:val="28"/>
        </w:rPr>
        <w:t xml:space="preserve"> по </w:t>
      </w:r>
      <w:r w:rsidR="00C22EA9">
        <w:rPr>
          <w:rFonts w:ascii="Times New Roman" w:hAnsi="Times New Roman" w:cs="Times New Roman"/>
          <w:sz w:val="28"/>
          <w:szCs w:val="28"/>
        </w:rPr>
        <w:t>18</w:t>
      </w:r>
      <w:r w:rsidR="00FD7008">
        <w:rPr>
          <w:rFonts w:ascii="Times New Roman" w:hAnsi="Times New Roman" w:cs="Times New Roman"/>
          <w:sz w:val="28"/>
          <w:szCs w:val="28"/>
        </w:rPr>
        <w:t> </w:t>
      </w:r>
      <w:r w:rsidR="00C22EA9">
        <w:rPr>
          <w:rFonts w:ascii="Times New Roman" w:hAnsi="Times New Roman" w:cs="Times New Roman"/>
          <w:sz w:val="28"/>
          <w:szCs w:val="28"/>
        </w:rPr>
        <w:t>августа</w:t>
      </w:r>
      <w:r w:rsidR="00FD7008" w:rsidRPr="00FD7008">
        <w:rPr>
          <w:rFonts w:ascii="Times New Roman" w:hAnsi="Times New Roman" w:cs="Times New Roman"/>
          <w:sz w:val="28"/>
          <w:szCs w:val="28"/>
        </w:rPr>
        <w:t xml:space="preserve"> 202</w:t>
      </w:r>
      <w:r w:rsidR="00AD24B3">
        <w:rPr>
          <w:rFonts w:ascii="Times New Roman" w:hAnsi="Times New Roman" w:cs="Times New Roman"/>
          <w:sz w:val="28"/>
          <w:szCs w:val="28"/>
        </w:rPr>
        <w:t>2</w:t>
      </w:r>
      <w:r w:rsidR="00FD7008" w:rsidRPr="00FD70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2240" w:rsidRPr="000A2240">
        <w:rPr>
          <w:rFonts w:ascii="Times New Roman" w:hAnsi="Times New Roman" w:cs="Times New Roman"/>
          <w:sz w:val="28"/>
          <w:szCs w:val="28"/>
        </w:rPr>
        <w:t>.</w:t>
      </w:r>
    </w:p>
    <w:p w:rsidR="00D864A2" w:rsidRDefault="005551B3" w:rsidP="00C670B0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экспертно-аналитического мероприятия</w:t>
      </w:r>
      <w:r w:rsidR="00A93CA6" w:rsidRPr="00A93CA6">
        <w:rPr>
          <w:sz w:val="28"/>
          <w:szCs w:val="28"/>
        </w:rPr>
        <w:t xml:space="preserve"> установлено следующее</w:t>
      </w:r>
      <w:r w:rsidR="00815E2C" w:rsidRPr="002943B6">
        <w:rPr>
          <w:sz w:val="28"/>
          <w:szCs w:val="28"/>
        </w:rPr>
        <w:t>:</w:t>
      </w:r>
    </w:p>
    <w:p w:rsidR="00AD24B3" w:rsidRPr="00AD24B3" w:rsidRDefault="00AD24B3" w:rsidP="00AD24B3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C22EA9" w:rsidRPr="00C22EA9">
        <w:rPr>
          <w:rFonts w:ascii="Times New Roman" w:eastAsia="Times New Roman" w:hAnsi="Times New Roman" w:cs="Times New Roman"/>
          <w:bCs/>
          <w:sz w:val="28"/>
          <w:szCs w:val="28"/>
        </w:rPr>
        <w:t>Отчет об исполнении бюджета Грачевс</w:t>
      </w:r>
      <w:r w:rsidR="00C22EA9">
        <w:rPr>
          <w:rFonts w:ascii="Times New Roman" w:eastAsia="Times New Roman" w:hAnsi="Times New Roman" w:cs="Times New Roman"/>
          <w:bCs/>
          <w:sz w:val="28"/>
          <w:szCs w:val="28"/>
        </w:rPr>
        <w:t>кого муниципального округа за I </w:t>
      </w:r>
      <w:r w:rsidR="00C22EA9"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полугодие 2022 года представлен Советом Грачевского муниципального округа в КСК в срок, установленный пунктом 55 Положения о бюджетном процессе в </w:t>
      </w:r>
      <w:proofErr w:type="spellStart"/>
      <w:r w:rsidR="00C22EA9" w:rsidRPr="00C22EA9">
        <w:rPr>
          <w:rFonts w:ascii="Times New Roman" w:eastAsia="Times New Roman" w:hAnsi="Times New Roman" w:cs="Times New Roman"/>
          <w:bCs/>
          <w:sz w:val="28"/>
          <w:szCs w:val="28"/>
        </w:rPr>
        <w:t>Грачевском</w:t>
      </w:r>
      <w:proofErr w:type="spellEnd"/>
      <w:r w:rsidR="00C22EA9"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муниципальном округе Ставропольского края</w:t>
      </w:r>
      <w:r w:rsidRPr="00AD24B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D24B3" w:rsidRPr="00AD24B3" w:rsidRDefault="00AD24B3" w:rsidP="00AD24B3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C22EA9" w:rsidRPr="00C22EA9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  пунктом 5 статьи 264.2 Бюджетного кодекса РФ отчет об исполнении бюджета Грачевского муниципального округа за I полугодие 2022 года утвержден распоряжением администрации Грачевского муниципального округа от 8 августа 2022 года № 118-р</w:t>
      </w:r>
      <w:r w:rsidRPr="00AD24B3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</w:p>
    <w:p w:rsidR="00AD24B3" w:rsidRPr="00AD24B3" w:rsidRDefault="00AD24B3" w:rsidP="00AD24B3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="00C22EA9" w:rsidRPr="00C22EA9">
        <w:rPr>
          <w:rFonts w:ascii="Times New Roman" w:eastAsia="Times New Roman" w:hAnsi="Times New Roman" w:cs="Times New Roman"/>
          <w:bCs/>
          <w:sz w:val="28"/>
          <w:szCs w:val="28"/>
        </w:rPr>
        <w:t>По итогам I полугодия 2022 года бюджет Грачевского муниципального округа исполнен по доходам в сумме 619 132,19 тыс. рублей, или на 38,12% к утвержденным годовым плановым назначениям с учетом изменений; по расходам – 622 023,28 тыс. рублей, или на 37,22% к  годовым назначениям  сводной  бюджетной росписи; с дефицитом – 2 891,09 тыс. рублей</w:t>
      </w:r>
      <w:r w:rsidRPr="00AD24B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C22EA9" w:rsidRDefault="00AD24B3" w:rsidP="00C22EA9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C22EA9" w:rsidRPr="00C22EA9">
        <w:rPr>
          <w:rFonts w:ascii="Times New Roman" w:eastAsia="Times New Roman" w:hAnsi="Times New Roman" w:cs="Times New Roman"/>
          <w:bCs/>
          <w:sz w:val="28"/>
          <w:szCs w:val="28"/>
        </w:rPr>
        <w:t>За I полугодие 2022 года в бюджет Грачевского муниципального округа поступили доходы в сумме 619 132,19  тыс. рублей или 38,12% к годовым уточненным плановым назначениям, из них</w:t>
      </w:r>
      <w:r w:rsidR="00C22EA9">
        <w:rPr>
          <w:rFonts w:ascii="Times New Roman" w:eastAsia="Times New Roman" w:hAnsi="Times New Roman" w:cs="Times New Roman"/>
          <w:bCs/>
          <w:sz w:val="28"/>
          <w:szCs w:val="28"/>
        </w:rPr>
        <w:t>: налоговые доходы – 105 051,70 </w:t>
      </w:r>
      <w:r w:rsidR="00C22EA9" w:rsidRPr="00C22EA9">
        <w:rPr>
          <w:rFonts w:ascii="Times New Roman" w:eastAsia="Times New Roman" w:hAnsi="Times New Roman" w:cs="Times New Roman"/>
          <w:bCs/>
          <w:sz w:val="28"/>
          <w:szCs w:val="28"/>
        </w:rPr>
        <w:t>тыс. рублей, неналоговые доходы – 19 106,14 тыс. рублей, безвозмездные поступления – 494 974,35 тыс. рублей.</w:t>
      </w:r>
    </w:p>
    <w:p w:rsidR="00C22EA9" w:rsidRPr="00C22EA9" w:rsidRDefault="00C22EA9" w:rsidP="00C22EA9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>В сравнении с аналогичным периодом 2021 года фактическое исполнение по доходам за I полугодие 2022 года увеличилось на 55 987,23 тыс. рублей или на 9,94% (I полугодие 2021 года – 563 144,96 тыс. рублей). Положительная динамика обусловлена ростом объема налого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вых и неналоговых доходов на 15 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>097,88 тыс. рублей (на 13,84%) и безвозм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ездных поступлений на 40 889,35 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>тыс. рублей (на 9,00%).</w:t>
      </w:r>
    </w:p>
    <w:p w:rsidR="00C22EA9" w:rsidRPr="00C22EA9" w:rsidRDefault="00C22EA9" w:rsidP="00C22EA9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>Исполнение по налоговым доходам составило 105 051,70 тыс. рублей, или 45,03% к годовым плановым назначениям, что выше объема исполнения за аналогичный период 2021 года на 9 458,53 тыс. рублей или на 9,89%.</w:t>
      </w:r>
    </w:p>
    <w:p w:rsidR="00C22EA9" w:rsidRPr="00C22EA9" w:rsidRDefault="00C22EA9" w:rsidP="00C22EA9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Неналоговые доходы  за I полугодие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2022  года исполнены в сумме 19 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>106,14 тыс. рублей или 51,76% к годовым плановым назначениям. К соответствующему периоду 2021 года рост объем поступлений  неналоговых доходов составил 41,88%.</w:t>
      </w:r>
    </w:p>
    <w:p w:rsidR="00AD24B3" w:rsidRPr="00AD24B3" w:rsidRDefault="00C22EA9" w:rsidP="00C22EA9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>Безвозмездные поступления по итогам I полугодия 2022 года составили 494 974,35 тыс. рублей или 36,55% к годовым плановым назначениям. По сравнению с аналогичным периодом 2021 года общий объем безвозмездных поступлений увеличился на 9,00%, или на 40 889,35 тыс. рублей (I полугодие  2021 года – 454 085,00 тыс. рублей).</w:t>
      </w:r>
    </w:p>
    <w:p w:rsidR="00C22EA9" w:rsidRPr="00C22EA9" w:rsidRDefault="00C22EA9" w:rsidP="00C22EA9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>Кассовые расходы бюджета муниципаль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ного округа за I полугодие 2022 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>года составили 622 023,28 тыс. рублей или 37,22% к уточненному годовому объему бюджетных назначений, что на 55 080,45 тыс. рублей или 9,72% выше расходов бюджета за аналогичный период 2021 года.</w:t>
      </w:r>
    </w:p>
    <w:p w:rsidR="00C22EA9" w:rsidRPr="00C22EA9" w:rsidRDefault="00C22EA9" w:rsidP="00C22EA9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Наибольший удельный вес в отчетном периоде в структуре исполненных расходов бюджета Грачевского муниципального округа занимают расходы по 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разделам: «Образование» - 41,96%; «Социальная политика» - 34,39%;  «Общегосударственные вопросы» - 10,85%.</w:t>
      </w:r>
    </w:p>
    <w:p w:rsidR="00C22EA9" w:rsidRPr="00C22EA9" w:rsidRDefault="00C22EA9" w:rsidP="00C22EA9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Наименьший показатель исполнения расходов сложился по разделам бюджетной классификации: «Национальная экономика» - 11,16%, «Жилищно-коммунальное хозяйство» - 15,57%.  </w:t>
      </w:r>
    </w:p>
    <w:p w:rsidR="00C22EA9" w:rsidRPr="00C22EA9" w:rsidRDefault="00C22EA9" w:rsidP="00C22EA9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Процент исполнения расходной части бюджета за I полугодие 2022 года в разрезе ГРБС варьируется от 5,81% до 62,23% от утвержденных бюджетных ассигнований. </w:t>
      </w:r>
    </w:p>
    <w:p w:rsidR="00C22EA9" w:rsidRPr="00C22EA9" w:rsidRDefault="00C22EA9" w:rsidP="00C22EA9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Бюджетные ассигнования по разделам, подразделам, целевым статьям и группам видов расходов бюджета утверждены на 2022 год в разрезе муниципальных программ и непрограммных направлений деятельности. В общей структуре плановых расходов на год, расходы на реализацию мероприятий 15-ти муниципальных программ составляют 1 433 710,03 тыс. рублей или 85,80% от уточненной суммы плановых расходов (1 671 065,83 тыс. рублей).  </w:t>
      </w:r>
    </w:p>
    <w:p w:rsidR="00C22EA9" w:rsidRPr="00C22EA9" w:rsidRDefault="00C22EA9" w:rsidP="00C22EA9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>За отчетный период исполнение про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граммных расходов составило 544 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>812,09 тыс. рублей или 38,00% от уточненных  плановых бюджетных ассигнований.</w:t>
      </w:r>
    </w:p>
    <w:p w:rsidR="00C22EA9" w:rsidRPr="00C22EA9" w:rsidRDefault="00C22EA9" w:rsidP="00C22EA9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 шести  программам сложился наиболее низкий показатель исполнения уточненных плановых бюджетных ассигнований: </w:t>
      </w:r>
    </w:p>
    <w:p w:rsidR="00C22EA9" w:rsidRPr="00C22EA9" w:rsidRDefault="00C22EA9" w:rsidP="00C22EA9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>- МП «Развитие транспортной системы и обеспечение безопасности дорожного движения на территории Грачевского муниципального округа Ставропольского края» - 10,46%;</w:t>
      </w:r>
    </w:p>
    <w:p w:rsidR="00C22EA9" w:rsidRPr="00C22EA9" w:rsidRDefault="00C22EA9" w:rsidP="00C22EA9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- МП «Развитие муниципальной службы и противодействие коррупции в </w:t>
      </w:r>
      <w:proofErr w:type="spellStart"/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>Грачевском</w:t>
      </w:r>
      <w:proofErr w:type="spellEnd"/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муниципальном округе» - 2,73%;</w:t>
      </w:r>
    </w:p>
    <w:p w:rsidR="00C22EA9" w:rsidRPr="00C22EA9" w:rsidRDefault="00C22EA9" w:rsidP="00C22EA9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>- МП «Управление финансами Грачевского муниципального  округа Ставропольского края» - 0,00%;</w:t>
      </w:r>
    </w:p>
    <w:p w:rsidR="00C22EA9" w:rsidRPr="00C22EA9" w:rsidRDefault="00C22EA9" w:rsidP="00C22EA9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>- МП «Энергосбережение и повышение энергетической эффективности на территории Грачевского муниципального округа Ставропольского края» - 0,00%;</w:t>
      </w:r>
    </w:p>
    <w:p w:rsidR="00C22EA9" w:rsidRPr="00C22EA9" w:rsidRDefault="00C22EA9" w:rsidP="00C22EA9">
      <w:pPr>
        <w:widowControl w:val="0"/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>- МП «Создание условий для обеспечения доступным и комфортным жильем граждан Грачевского муниципального округа Ставропольского края» - 0,00%;</w:t>
      </w:r>
    </w:p>
    <w:p w:rsidR="00AD24B3" w:rsidRPr="00AD24B3" w:rsidRDefault="00C22EA9" w:rsidP="00C22EA9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>- МП «Безопасный муниципальный округ» - 0,00%</w:t>
      </w:r>
      <w:r w:rsidR="00AD24B3" w:rsidRPr="00AD24B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22EA9" w:rsidRDefault="00C22EA9" w:rsidP="00C22EA9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>Уточненным Решением о бюджете на 2022 год предусмотрены бюджетные ассигнования на реализаци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 4-х национальных проектов (НП 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>«Культура»; НП «Образование»; НП «Демография»; НП «Безопасные и качественные автомобильные дороги») в объеме 193 949,94 тыс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рублей.</w:t>
      </w:r>
    </w:p>
    <w:p w:rsidR="00C22EA9" w:rsidRPr="00C22EA9" w:rsidRDefault="00C22EA9" w:rsidP="00C22EA9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>Объем расходов в рамках национальных проектов предусмотрен путем реализации мероприятий шести региональных проектов. Реализация региональных проектов осуществляется через муниципальные программы округа.</w:t>
      </w:r>
    </w:p>
    <w:p w:rsidR="00AD24B3" w:rsidRPr="00AD24B3" w:rsidRDefault="00C22EA9" w:rsidP="00C22EA9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состоянию на 01.07.2022 года исполнение мероприятий муниципальных программ в рамках реализации региональных проектов 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составило 50 857,57 тыс. рублей или 26,22% от уточненных  плановых бюджетных ассигнований</w:t>
      </w:r>
      <w:r w:rsidR="00AD24B3" w:rsidRPr="00AD24B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D24B3" w:rsidRPr="00AD24B3" w:rsidRDefault="00C22EA9" w:rsidP="00AD24B3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>Бюджет Грачевского муниципального округа за   I полугодие 2022 года исполнен с дефицитом в сумме 2 891,09 тыс. рублей, при утвержденном дефиците бюджета в размере 48 344,18 тыс. рублей</w:t>
      </w:r>
      <w:r w:rsidR="00AD24B3" w:rsidRPr="00AD24B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D24B3" w:rsidRPr="00AD24B3" w:rsidRDefault="00C22EA9" w:rsidP="00AD24B3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>По состоянию на 01.07.2022   численность муниципальных служащих и работников муниципальных учреждений Грачевского муниципального округа по сравнению с аналогичным периодом про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шлого года уменьшилась на 67,82 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>человека, и составила 1 859,33 человека</w:t>
      </w:r>
      <w:r w:rsidR="00AD24B3" w:rsidRPr="00AD24B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D24B3" w:rsidRDefault="00C22EA9" w:rsidP="00AD24B3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>Исполненный бюджет Грачевс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кого муниципального округа за I 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>полугодие 2022 года по доходам и расходам и источникам финансирования дефицита бюджета сбалансирован</w:t>
      </w:r>
      <w:r w:rsidR="00AD24B3" w:rsidRPr="00AD24B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A2589">
        <w:rPr>
          <w:rFonts w:ascii="Times New Roman" w:hAnsi="Times New Roman" w:cs="Times New Roman"/>
          <w:sz w:val="28"/>
          <w:szCs w:val="28"/>
        </w:rPr>
        <w:t xml:space="preserve">    </w:t>
      </w:r>
      <w:r w:rsidR="006E774C">
        <w:rPr>
          <w:rFonts w:ascii="Times New Roman" w:hAnsi="Times New Roman" w:cs="Times New Roman"/>
          <w:sz w:val="28"/>
          <w:szCs w:val="28"/>
        </w:rPr>
        <w:tab/>
      </w:r>
    </w:p>
    <w:p w:rsidR="001A2589" w:rsidRDefault="001A2589" w:rsidP="00AD24B3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Возражения или замечания руководителей или иных уполномоченных должностных лиц объектов экспертно-аналитического мероприятия на результаты экспертно-аналитического мероприятия не поступали.</w:t>
      </w:r>
    </w:p>
    <w:p w:rsidR="001A2589" w:rsidRPr="002943B6" w:rsidRDefault="001A2589" w:rsidP="005663B2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BE0" w:rsidRDefault="006E774C" w:rsidP="006E77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866BE0" w:rsidSect="006E77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0688C"/>
    <w:rsid w:val="000150DE"/>
    <w:rsid w:val="000341F7"/>
    <w:rsid w:val="0005384C"/>
    <w:rsid w:val="0009041A"/>
    <w:rsid w:val="000A2240"/>
    <w:rsid w:val="000D0BA5"/>
    <w:rsid w:val="00131503"/>
    <w:rsid w:val="00156DB1"/>
    <w:rsid w:val="00181DCE"/>
    <w:rsid w:val="001A2589"/>
    <w:rsid w:val="001C208A"/>
    <w:rsid w:val="001C3445"/>
    <w:rsid w:val="001E3861"/>
    <w:rsid w:val="0022247D"/>
    <w:rsid w:val="002377A1"/>
    <w:rsid w:val="00273A1D"/>
    <w:rsid w:val="002801DA"/>
    <w:rsid w:val="00283732"/>
    <w:rsid w:val="00285B84"/>
    <w:rsid w:val="002943B6"/>
    <w:rsid w:val="0029535F"/>
    <w:rsid w:val="002B5739"/>
    <w:rsid w:val="002E5849"/>
    <w:rsid w:val="00324FEB"/>
    <w:rsid w:val="00333C05"/>
    <w:rsid w:val="0034372A"/>
    <w:rsid w:val="00363F03"/>
    <w:rsid w:val="00384FC6"/>
    <w:rsid w:val="003B55E2"/>
    <w:rsid w:val="003E5BEF"/>
    <w:rsid w:val="003E6818"/>
    <w:rsid w:val="003E7C8D"/>
    <w:rsid w:val="003F0037"/>
    <w:rsid w:val="003F3A82"/>
    <w:rsid w:val="00406A37"/>
    <w:rsid w:val="004220E9"/>
    <w:rsid w:val="00476EAF"/>
    <w:rsid w:val="00487D87"/>
    <w:rsid w:val="00493055"/>
    <w:rsid w:val="004B2D43"/>
    <w:rsid w:val="004C29E9"/>
    <w:rsid w:val="00504948"/>
    <w:rsid w:val="005551B3"/>
    <w:rsid w:val="005663B2"/>
    <w:rsid w:val="00584E5C"/>
    <w:rsid w:val="00592B10"/>
    <w:rsid w:val="005C5700"/>
    <w:rsid w:val="005E6822"/>
    <w:rsid w:val="005F1F15"/>
    <w:rsid w:val="006008D0"/>
    <w:rsid w:val="006053B8"/>
    <w:rsid w:val="006365E2"/>
    <w:rsid w:val="006766A7"/>
    <w:rsid w:val="006C6038"/>
    <w:rsid w:val="006E46BB"/>
    <w:rsid w:val="006E774C"/>
    <w:rsid w:val="00724F7C"/>
    <w:rsid w:val="007366D7"/>
    <w:rsid w:val="0074688C"/>
    <w:rsid w:val="00753B84"/>
    <w:rsid w:val="00755BA0"/>
    <w:rsid w:val="0078457E"/>
    <w:rsid w:val="00795B1D"/>
    <w:rsid w:val="00815E2C"/>
    <w:rsid w:val="00821D82"/>
    <w:rsid w:val="00866BE0"/>
    <w:rsid w:val="0092243D"/>
    <w:rsid w:val="00925D38"/>
    <w:rsid w:val="009A66BB"/>
    <w:rsid w:val="009C618F"/>
    <w:rsid w:val="009E0130"/>
    <w:rsid w:val="009E2B21"/>
    <w:rsid w:val="009F6B36"/>
    <w:rsid w:val="00A546BF"/>
    <w:rsid w:val="00A93CA6"/>
    <w:rsid w:val="00A96A05"/>
    <w:rsid w:val="00AD24B3"/>
    <w:rsid w:val="00AE5B51"/>
    <w:rsid w:val="00B416D3"/>
    <w:rsid w:val="00B46AFE"/>
    <w:rsid w:val="00B5701B"/>
    <w:rsid w:val="00B64DB1"/>
    <w:rsid w:val="00B9173A"/>
    <w:rsid w:val="00BA1ACF"/>
    <w:rsid w:val="00BC28DB"/>
    <w:rsid w:val="00BE4393"/>
    <w:rsid w:val="00C22EA9"/>
    <w:rsid w:val="00C670B0"/>
    <w:rsid w:val="00C80F5B"/>
    <w:rsid w:val="00CA69D5"/>
    <w:rsid w:val="00D02949"/>
    <w:rsid w:val="00D864A2"/>
    <w:rsid w:val="00DD29E1"/>
    <w:rsid w:val="00E345E5"/>
    <w:rsid w:val="00E73A1A"/>
    <w:rsid w:val="00EB188A"/>
    <w:rsid w:val="00F30229"/>
    <w:rsid w:val="00F320FE"/>
    <w:rsid w:val="00F54CF1"/>
    <w:rsid w:val="00F66566"/>
    <w:rsid w:val="00F74F61"/>
    <w:rsid w:val="00F96D9B"/>
    <w:rsid w:val="00FD7008"/>
    <w:rsid w:val="00FE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89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paragraph" w:styleId="a8">
    <w:name w:val="Normal (Web)"/>
    <w:basedOn w:val="a"/>
    <w:unhideWhenUsed/>
    <w:rsid w:val="0050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55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89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paragraph" w:styleId="a8">
    <w:name w:val="Normal (Web)"/>
    <w:basedOn w:val="a"/>
    <w:unhideWhenUsed/>
    <w:rsid w:val="0050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55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19</cp:revision>
  <cp:lastPrinted>2019-08-27T08:13:00Z</cp:lastPrinted>
  <dcterms:created xsi:type="dcterms:W3CDTF">2018-12-24T12:06:00Z</dcterms:created>
  <dcterms:modified xsi:type="dcterms:W3CDTF">2022-12-21T12:46:00Z</dcterms:modified>
</cp:coreProperties>
</file>