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FD7008" w:rsidP="00FD7008">
      <w:pPr>
        <w:pStyle w:val="2"/>
        <w:ind w:left="284" w:right="-1"/>
      </w:pPr>
      <w:r>
        <w:t>о результатах экспертно-аналитического мероприятия «</w:t>
      </w:r>
      <w:r w:rsidR="0029535F" w:rsidRPr="0029535F">
        <w:t xml:space="preserve">Оперативный анализ исполнения бюджета  Грачевского муниципального округа Ставропольского края за </w:t>
      </w:r>
      <w:r w:rsidR="00C84AB7">
        <w:t>9 месяцев</w:t>
      </w:r>
      <w:r w:rsidR="0029535F" w:rsidRPr="0029535F">
        <w:t xml:space="preserve"> 2021 года</w:t>
      </w:r>
      <w:r w:rsidR="003E6818" w:rsidRPr="003E6818">
        <w:t>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5B04C3" w:rsidP="005B04C3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BA0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</w:t>
            </w:r>
            <w:r w:rsidR="00AD24B3">
              <w:rPr>
                <w:rFonts w:ascii="Times New Roman" w:hAnsi="Times New Roman" w:cs="Times New Roman"/>
                <w:sz w:val="28"/>
              </w:rPr>
              <w:t>2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BA0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п. 12 Положения о бюджетном процессе в </w:t>
      </w:r>
      <w:proofErr w:type="spellStart"/>
      <w:r w:rsidR="0074688C" w:rsidRPr="0074688C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края, 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</w:t>
      </w:r>
      <w:proofErr w:type="gram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от 07.12.2020 № 64</w:t>
      </w:r>
      <w:r w:rsidR="0074688C">
        <w:rPr>
          <w:rFonts w:ascii="Times New Roman" w:hAnsi="Times New Roman" w:cs="Times New Roman"/>
          <w:sz w:val="28"/>
          <w:szCs w:val="28"/>
        </w:rPr>
        <w:t>, п. 1.5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Ст</w:t>
      </w:r>
      <w:r w:rsidR="0074688C">
        <w:rPr>
          <w:rFonts w:ascii="Times New Roman" w:hAnsi="Times New Roman" w:cs="Times New Roman"/>
          <w:sz w:val="28"/>
          <w:szCs w:val="28"/>
        </w:rPr>
        <w:t>авропольского края на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7468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FD7008">
        <w:rPr>
          <w:rFonts w:ascii="Times New Roman" w:hAnsi="Times New Roman" w:cs="Times New Roman"/>
          <w:sz w:val="28"/>
          <w:szCs w:val="28"/>
        </w:rPr>
        <w:t xml:space="preserve"> Ставропольского края за </w:t>
      </w:r>
      <w:r w:rsidR="00C84AB7">
        <w:rPr>
          <w:rFonts w:ascii="Times New Roman" w:hAnsi="Times New Roman" w:cs="Times New Roman"/>
          <w:sz w:val="28"/>
          <w:szCs w:val="28"/>
        </w:rPr>
        <w:t>9 месяцев</w:t>
      </w:r>
      <w:r w:rsidR="0074688C">
        <w:rPr>
          <w:rFonts w:ascii="Times New Roman" w:hAnsi="Times New Roman" w:cs="Times New Roman"/>
          <w:sz w:val="28"/>
          <w:szCs w:val="28"/>
        </w:rPr>
        <w:t xml:space="preserve"> </w:t>
      </w:r>
      <w:r w:rsidR="00FD7008" w:rsidRPr="00FD7008">
        <w:rPr>
          <w:rFonts w:ascii="Times New Roman" w:hAnsi="Times New Roman" w:cs="Times New Roman"/>
          <w:sz w:val="28"/>
          <w:szCs w:val="28"/>
        </w:rPr>
        <w:t>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, как орган, организующий исполнение бюджета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5B04C3">
        <w:rPr>
          <w:rFonts w:ascii="Times New Roman" w:hAnsi="Times New Roman" w:cs="Times New Roman"/>
          <w:sz w:val="28"/>
          <w:szCs w:val="28"/>
        </w:rPr>
        <w:t>9 месяцев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FD7008">
        <w:rPr>
          <w:rFonts w:ascii="Times New Roman" w:hAnsi="Times New Roman" w:cs="Times New Roman"/>
          <w:sz w:val="28"/>
          <w:szCs w:val="28"/>
        </w:rPr>
        <w:t xml:space="preserve">с </w:t>
      </w:r>
      <w:r w:rsidR="005B04C3">
        <w:rPr>
          <w:rFonts w:ascii="Times New Roman" w:hAnsi="Times New Roman" w:cs="Times New Roman"/>
          <w:sz w:val="28"/>
          <w:szCs w:val="28"/>
        </w:rPr>
        <w:t>25 октября</w:t>
      </w:r>
      <w:r w:rsidR="0074688C">
        <w:rPr>
          <w:rFonts w:ascii="Times New Roman" w:hAnsi="Times New Roman" w:cs="Times New Roman"/>
          <w:sz w:val="28"/>
          <w:szCs w:val="28"/>
        </w:rPr>
        <w:t xml:space="preserve"> по </w:t>
      </w:r>
      <w:r w:rsidR="005B04C3">
        <w:rPr>
          <w:rFonts w:ascii="Times New Roman" w:hAnsi="Times New Roman" w:cs="Times New Roman"/>
          <w:sz w:val="28"/>
          <w:szCs w:val="28"/>
        </w:rPr>
        <w:t>9 ноября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Отчет об исполнении бюджета Грачевс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округа за 9 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месяцев 2022 года представлен Советом Грачевского муниципального округа в КСК в срок, установленный пунктом 55 Положения о бюджетном процессе в </w:t>
      </w:r>
      <w:proofErr w:type="spellStart"/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Ставропольского края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5 статьи 264.2 Бюджетного кодекса РФ отчет об исполнении бюджета Грачевского муниципа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за 9 месяцев 2022 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года утвержден распоряжением администрации Грачевского муниципального округа от 14 октября 2022 года № 159-р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AD24B3" w:rsidRPr="00AD24B3" w:rsidRDefault="00AD24B3" w:rsidP="005B04C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бюджет Грачевского муниципального округа исполнен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по доходам - в объеме 1 036 761,70 тыс. рублей или 62,71 % утвержденного бюджета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по расходам – в объеме 1 009 029,51 рублей или 59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,25% сводной бюджетной росписи,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с профицитом в размере 27 732,19 тыс. рублей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2EA9" w:rsidRDefault="00AD24B3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в бюджет Грачевского муниципального округа поступили доходы в сумме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1 036 761,70 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 или 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62,71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% к годовым уточненным плановым назначениям, из них</w:t>
      </w:r>
      <w:r w:rsid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: налоговые доходы –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82 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956,19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неналоговые доходы –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33 317,23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безвозмездные поступления –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820 488,28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В сравнении с аналогичным периодом 2021 года фактическое исполнение по доходам за 9 месяцев 2022 года увеличилось на +155 463,15тыс. рублей или на 17,64% (9 месяцев 2021 года – 881 298,55тыс. рублей). Положительная динамика обусловлена ростом объема налогов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ых и неналоговых доходов на +33 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353,58 тыс. рублей (на 18,23%) и бе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звозмездных поступлений на +122 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>109,57 тыс. рублей (на 17,48%).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по налоговым доходам составило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182 956,19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77,18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 к годовым плановым назначениям, что выше объема исполнения за аналогичный период 2021 года на </w:t>
      </w:r>
      <w:r w:rsidR="005B04C3" w:rsidRPr="005B04C3">
        <w:rPr>
          <w:rFonts w:ascii="Times New Roman" w:eastAsia="Times New Roman" w:hAnsi="Times New Roman" w:cs="Times New Roman"/>
          <w:bCs/>
          <w:sz w:val="28"/>
          <w:szCs w:val="28"/>
        </w:rPr>
        <w:t xml:space="preserve">24 492,52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 или на 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15,46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Неналоговые доходы  за </w:t>
      </w:r>
      <w:r w:rsidR="005B04C3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2022  года исполнены в сумме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33 </w:t>
      </w:r>
      <w:r w:rsidR="00DE37D4" w:rsidRPr="00DE37D4">
        <w:rPr>
          <w:rFonts w:ascii="Times New Roman" w:eastAsia="Times New Roman" w:hAnsi="Times New Roman" w:cs="Times New Roman"/>
          <w:bCs/>
          <w:sz w:val="28"/>
          <w:szCs w:val="28"/>
        </w:rPr>
        <w:t>317,23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 или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86,79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 к годовым плановым назначениям. К соответствующему периоду 2021 года рост объем поступлений  неналоговых доходов составил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36,23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AD24B3" w:rsidRPr="00AD24B3" w:rsidRDefault="00C22EA9" w:rsidP="00C22EA9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Безвозмездные поступления по итогам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составили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820 </w:t>
      </w:r>
      <w:r w:rsidR="00DE37D4" w:rsidRPr="00DE37D4">
        <w:rPr>
          <w:rFonts w:ascii="Times New Roman" w:eastAsia="Times New Roman" w:hAnsi="Times New Roman" w:cs="Times New Roman"/>
          <w:bCs/>
          <w:sz w:val="28"/>
          <w:szCs w:val="28"/>
        </w:rPr>
        <w:t>488,28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59,55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 к годовым плановым назначениям. По сравнению с аналогичным периодом 2021 года общий объем безвозмездных поступлений увеличился на 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17,48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%, или на </w:t>
      </w:r>
      <w:r w:rsidR="00DE37D4" w:rsidRPr="00DE37D4">
        <w:rPr>
          <w:rFonts w:ascii="Times New Roman" w:eastAsia="Times New Roman" w:hAnsi="Times New Roman" w:cs="Times New Roman"/>
          <w:bCs/>
          <w:sz w:val="28"/>
          <w:szCs w:val="28"/>
        </w:rPr>
        <w:t>122 109,57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DE37D4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 2021 года – </w:t>
      </w:r>
      <w:r w:rsidR="00DE37D4" w:rsidRPr="00DE37D4">
        <w:rPr>
          <w:rFonts w:ascii="Times New Roman" w:eastAsia="Times New Roman" w:hAnsi="Times New Roman" w:cs="Times New Roman"/>
          <w:bCs/>
          <w:sz w:val="28"/>
          <w:szCs w:val="28"/>
        </w:rPr>
        <w:t>698 378,71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рублей).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Кассовые расходы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округа за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составили </w:t>
      </w:r>
      <w:r w:rsidR="00A338E8" w:rsidRPr="00A338E8">
        <w:rPr>
          <w:rFonts w:ascii="Times New Roman" w:eastAsia="Times New Roman" w:hAnsi="Times New Roman" w:cs="Times New Roman"/>
          <w:bCs/>
          <w:sz w:val="28"/>
          <w:szCs w:val="28"/>
        </w:rPr>
        <w:t xml:space="preserve">1 009 029,51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 или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59,25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 к уточненному годовому объему бюджетных назначений, что на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129 143,58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14,68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 выше расходов бюджета за аналогичный период 2021 года.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удельный вес в отчетном периоде в структуре исполненных расходов бюджета Грачевского муниципального округа занимают расходы по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разделам: «Образование» -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40,50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%; «Социальная политика» -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31,99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%;  «Общ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егосударственные вопросы» - 10,9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5%.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Наименьший показатель исполнения расходов сложился по разделам бюджетной классификации: «Национальная экономика» -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29,46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%, «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Культура, кинематография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-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47,96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%. 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Процент исполнения расходной части бюджета за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в разрезе ГРБС варьируется от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33,15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 до </w:t>
      </w:r>
      <w:r w:rsidR="00A338E8">
        <w:rPr>
          <w:rFonts w:ascii="Times New Roman" w:eastAsia="Times New Roman" w:hAnsi="Times New Roman" w:cs="Times New Roman"/>
          <w:bCs/>
          <w:sz w:val="28"/>
          <w:szCs w:val="28"/>
        </w:rPr>
        <w:t>81,71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утвержденных бюджетных ассигнований.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Бюджетные ассигнования по разделам, подразделам, целевым статьям и группам видов расходов бюджета утверждены на 2022 год в разрезе муниципальных программ и непрограммных направлений деятельности. В общей структуре плановых расходов на год, расходы на реализацию мероприятий 15-ти муниципальных программ составляют </w:t>
      </w:r>
      <w:r w:rsidR="00D70C34" w:rsidRPr="00D70C34">
        <w:rPr>
          <w:rFonts w:ascii="Times New Roman" w:eastAsia="Times New Roman" w:hAnsi="Times New Roman" w:cs="Times New Roman"/>
          <w:bCs/>
          <w:sz w:val="28"/>
          <w:szCs w:val="28"/>
        </w:rPr>
        <w:t xml:space="preserve">1 500 396,05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тыс. рублей или 8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8,10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 от уточненной суммы плановых расходов (</w:t>
      </w:r>
      <w:r w:rsidR="00D70C34" w:rsidRPr="00D70C34">
        <w:rPr>
          <w:rFonts w:ascii="Times New Roman" w:eastAsia="Times New Roman" w:hAnsi="Times New Roman" w:cs="Times New Roman"/>
          <w:bCs/>
          <w:sz w:val="28"/>
          <w:szCs w:val="28"/>
        </w:rPr>
        <w:t>1 703 110,18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рублей).  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исполнение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граммных расходов составило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878 </w:t>
      </w:r>
      <w:r w:rsidR="00D70C34" w:rsidRPr="00D70C34">
        <w:rPr>
          <w:rFonts w:ascii="Times New Roman" w:eastAsia="Times New Roman" w:hAnsi="Times New Roman" w:cs="Times New Roman"/>
          <w:bCs/>
          <w:sz w:val="28"/>
          <w:szCs w:val="28"/>
        </w:rPr>
        <w:t>168,06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58,53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 от уточненных  плановых бюджетных ассигнований.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пяти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программам сложился наиболее низкий показатель исполнения уточненных плановых бюджетных ассигнований: </w:t>
      </w:r>
    </w:p>
    <w:p w:rsidR="00C22EA9" w:rsidRPr="00C22EA9" w:rsidRDefault="00C22EA9" w:rsidP="00D70C34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</w:t>
      </w:r>
      <w:r w:rsidR="00D70C34" w:rsidRPr="00D70C3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современной городской среды на территории Грачевского муниципального округа Ставропольского края на 2018-2024 годы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-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27,47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МП «Развитие муниципальной службы и противодействие коррупции в </w:t>
      </w:r>
      <w:proofErr w:type="spellStart"/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округе» -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9,27%.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«Управление финансами Грачевского муниципального  округа Ставропольского края» - 0,00%;</w:t>
      </w:r>
    </w:p>
    <w:p w:rsidR="00C22EA9" w:rsidRPr="00C22EA9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«Энергосбережение и повышение энергетической эффективности на территории Грачевского муниципального округа Ставропольского края» - 0,00%;</w:t>
      </w:r>
    </w:p>
    <w:p w:rsidR="00AD24B3" w:rsidRPr="00AD24B3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- МП «Безопасный муниципальный округ» - 0,00%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2EA9" w:rsidRDefault="00D70C34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C34">
        <w:rPr>
          <w:rFonts w:ascii="Times New Roman" w:eastAsia="Times New Roman" w:hAnsi="Times New Roman" w:cs="Times New Roman"/>
          <w:bCs/>
          <w:sz w:val="28"/>
          <w:szCs w:val="28"/>
        </w:rPr>
        <w:t>Уточненным Решением о бюджете на 2022 год предусмотрены бюджетные ассигнования на реализацию 4-х национальных прое</w:t>
      </w:r>
      <w:r w:rsidR="005D03B2">
        <w:rPr>
          <w:rFonts w:ascii="Times New Roman" w:eastAsia="Times New Roman" w:hAnsi="Times New Roman" w:cs="Times New Roman"/>
          <w:bCs/>
          <w:sz w:val="28"/>
          <w:szCs w:val="28"/>
        </w:rPr>
        <w:t>ктов (НП </w:t>
      </w:r>
      <w:r w:rsidRPr="00D70C34">
        <w:rPr>
          <w:rFonts w:ascii="Times New Roman" w:eastAsia="Times New Roman" w:hAnsi="Times New Roman" w:cs="Times New Roman"/>
          <w:bCs/>
          <w:sz w:val="28"/>
          <w:szCs w:val="28"/>
        </w:rPr>
        <w:t>«Культура»; НП «Образование»; НП «Демография»; НП «Безопасные и качественные автомобильные дороги») в объеме 314 452,28 тыс. рублей</w:t>
      </w:r>
      <w:r w:rsidR="00C22E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2EA9" w:rsidRPr="00C22EA9" w:rsidRDefault="00D70C34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C34">
        <w:rPr>
          <w:rFonts w:ascii="Times New Roman" w:eastAsia="Times New Roman" w:hAnsi="Times New Roman" w:cs="Times New Roman"/>
          <w:bCs/>
          <w:sz w:val="28"/>
          <w:szCs w:val="28"/>
        </w:rPr>
        <w:t>Объем расходов в рамках национальных проектов предусмотрен путем реализации мероприятий шести региональных проектов. Реализация региональных проектов осуществляется через муниципальные программы округа</w:t>
      </w:r>
      <w:r w:rsidR="00C22EA9" w:rsidRPr="00C22E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C22EA9" w:rsidP="00C22EA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По состоянию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01.10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года исполнение мероприятий муниципальных программ в рамках реализации региональных проектов составило </w:t>
      </w:r>
      <w:r w:rsidR="00D70C34" w:rsidRPr="00D70C34">
        <w:rPr>
          <w:rFonts w:ascii="Times New Roman" w:eastAsia="Times New Roman" w:hAnsi="Times New Roman" w:cs="Times New Roman"/>
          <w:bCs/>
          <w:sz w:val="28"/>
          <w:szCs w:val="28"/>
        </w:rPr>
        <w:t>104 467,04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 или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53,25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% от уточненных  плановых бюджетных ассигнований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D70C34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C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Бюджет Грачевского муниципального округа за 9 месяцев 2022 года исполнен с профицитом в сумме 27 732,19 тыс. рублей, при утвержденном дефиците бюджета в размере 46 431,56 тыс. рублей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Pr="00AD24B3" w:rsidRDefault="00D70C34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C34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 01.10.2022 численность муниципальных служащих и работников муниципальных учреждений Грачевского муниципального округа по сравнению с аналогичным периодом прошлого года уменьшилась на 62,95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70C34">
        <w:rPr>
          <w:rFonts w:ascii="Times New Roman" w:eastAsia="Times New Roman" w:hAnsi="Times New Roman" w:cs="Times New Roman"/>
          <w:bCs/>
          <w:sz w:val="28"/>
          <w:szCs w:val="28"/>
        </w:rPr>
        <w:t>человека, и составила 1 859,33 человека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24B3" w:rsidRDefault="00C22EA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>Исполненный бюджет Грачевс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 муниципального округа за </w:t>
      </w:r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9 мес</w:t>
      </w:r>
      <w:r w:rsidR="00C84AB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r w:rsidR="00D70C34">
        <w:rPr>
          <w:rFonts w:ascii="Times New Roman" w:eastAsia="Times New Roman" w:hAnsi="Times New Roman" w:cs="Times New Roman"/>
          <w:bCs/>
          <w:sz w:val="28"/>
          <w:szCs w:val="28"/>
        </w:rPr>
        <w:t>цев</w:t>
      </w:r>
      <w:r w:rsidRPr="00C22EA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по доходам и расходам и источникам финансирования дефицита бюджета сбалансирован</w:t>
      </w:r>
      <w:r w:rsidR="00AD24B3" w:rsidRPr="00AD24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2589"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</w:p>
    <w:p w:rsidR="001A2589" w:rsidRDefault="001A258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589" w:rsidRPr="002943B6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9535F"/>
    <w:rsid w:val="002B5739"/>
    <w:rsid w:val="002E5849"/>
    <w:rsid w:val="00324FEB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4B2D43"/>
    <w:rsid w:val="004C29E9"/>
    <w:rsid w:val="004C4298"/>
    <w:rsid w:val="00504948"/>
    <w:rsid w:val="005551B3"/>
    <w:rsid w:val="005663B2"/>
    <w:rsid w:val="00584E5C"/>
    <w:rsid w:val="00592B10"/>
    <w:rsid w:val="005B04C3"/>
    <w:rsid w:val="005C5700"/>
    <w:rsid w:val="005D03B2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4688C"/>
    <w:rsid w:val="00753B84"/>
    <w:rsid w:val="00755BA0"/>
    <w:rsid w:val="0078457E"/>
    <w:rsid w:val="00795B1D"/>
    <w:rsid w:val="00815E2C"/>
    <w:rsid w:val="00821D82"/>
    <w:rsid w:val="00866BE0"/>
    <w:rsid w:val="0092243D"/>
    <w:rsid w:val="00925D38"/>
    <w:rsid w:val="009A66BB"/>
    <w:rsid w:val="009C618F"/>
    <w:rsid w:val="009E0130"/>
    <w:rsid w:val="009E2B21"/>
    <w:rsid w:val="009F6B36"/>
    <w:rsid w:val="00A338E8"/>
    <w:rsid w:val="00A546BF"/>
    <w:rsid w:val="00A93CA6"/>
    <w:rsid w:val="00A96A05"/>
    <w:rsid w:val="00AD24B3"/>
    <w:rsid w:val="00AE5B51"/>
    <w:rsid w:val="00B416D3"/>
    <w:rsid w:val="00B46AFE"/>
    <w:rsid w:val="00B5701B"/>
    <w:rsid w:val="00B64DB1"/>
    <w:rsid w:val="00B9173A"/>
    <w:rsid w:val="00BA1ACF"/>
    <w:rsid w:val="00BC28DB"/>
    <w:rsid w:val="00BE4393"/>
    <w:rsid w:val="00C22EA9"/>
    <w:rsid w:val="00C670B0"/>
    <w:rsid w:val="00C80F5B"/>
    <w:rsid w:val="00C84AB7"/>
    <w:rsid w:val="00CA69D5"/>
    <w:rsid w:val="00D02949"/>
    <w:rsid w:val="00D70C34"/>
    <w:rsid w:val="00D864A2"/>
    <w:rsid w:val="00DD29E1"/>
    <w:rsid w:val="00DE37D4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D700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23</cp:revision>
  <cp:lastPrinted>2019-08-27T08:13:00Z</cp:lastPrinted>
  <dcterms:created xsi:type="dcterms:W3CDTF">2018-12-24T12:06:00Z</dcterms:created>
  <dcterms:modified xsi:type="dcterms:W3CDTF">2023-01-12T07:51:00Z</dcterms:modified>
</cp:coreProperties>
</file>