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0B0" w:rsidRPr="00A07DBA" w:rsidRDefault="00911619" w:rsidP="00AC1D3B">
      <w:pPr>
        <w:pStyle w:val="a4"/>
        <w:ind w:firstLine="0"/>
        <w:jc w:val="center"/>
        <w:rPr>
          <w:b/>
        </w:rPr>
      </w:pPr>
      <w:r w:rsidRPr="00A07DBA">
        <w:rPr>
          <w:b/>
        </w:rPr>
        <w:t>ОТ</w:t>
      </w:r>
      <w:bookmarkStart w:id="0" w:name="_GoBack"/>
      <w:bookmarkEnd w:id="0"/>
      <w:r w:rsidRPr="00A07DBA">
        <w:rPr>
          <w:b/>
        </w:rPr>
        <w:t>ЧЕТ</w:t>
      </w:r>
    </w:p>
    <w:p w:rsidR="00755BA0" w:rsidRPr="00A07DBA" w:rsidRDefault="00911619" w:rsidP="00AC1D3B">
      <w:pPr>
        <w:pStyle w:val="a4"/>
        <w:spacing w:after="600"/>
        <w:ind w:firstLine="0"/>
        <w:jc w:val="center"/>
        <w:rPr>
          <w:b/>
        </w:rPr>
      </w:pPr>
      <w:r w:rsidRPr="00A07DBA">
        <w:rPr>
          <w:b/>
        </w:rPr>
        <w:t xml:space="preserve">О РЕЗУЛЬТАТАХ ЭКСПЕРТНО-АНАЛИТИЧЕСКОГО </w:t>
      </w:r>
      <w:r w:rsidR="00AC1D3B" w:rsidRPr="00AC1D3B">
        <w:rPr>
          <w:b/>
        </w:rPr>
        <w:br/>
      </w:r>
      <w:r w:rsidRPr="00A07DBA">
        <w:rPr>
          <w:b/>
        </w:rPr>
        <w:t xml:space="preserve">МЕРОПРИЯТИЯ «ОПЕРАТИВНЫЙ АНАЛИЗ ИСПОЛНЕНИЯ БЮДЖЕТА ГРАЧЕВСКОГО МУНИЦИПАЛЬНОГО ОКРУГА СТАВРОПОЛЬСКОГО КРАЯ ЗА </w:t>
      </w:r>
      <w:r w:rsidRPr="00A07DBA">
        <w:rPr>
          <w:b/>
          <w:lang w:val="en-US"/>
        </w:rPr>
        <w:t>I</w:t>
      </w:r>
      <w:r w:rsidRPr="00A07DBA">
        <w:rPr>
          <w:b/>
        </w:rPr>
        <w:t xml:space="preserve"> </w:t>
      </w:r>
      <w:r w:rsidR="00AC1D3B">
        <w:rPr>
          <w:b/>
        </w:rPr>
        <w:t>КВАРТАЛ</w:t>
      </w:r>
      <w:r w:rsidRPr="00A07DBA">
        <w:rPr>
          <w:b/>
        </w:rPr>
        <w:t xml:space="preserve"> 202</w:t>
      </w:r>
      <w:r w:rsidR="00AC1D3B">
        <w:rPr>
          <w:b/>
        </w:rPr>
        <w:t>4</w:t>
      </w:r>
      <w:r w:rsidRPr="00A07DBA">
        <w:rPr>
          <w:b/>
        </w:rPr>
        <w:t xml:space="preserve"> ГОДА»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7"/>
        <w:gridCol w:w="3164"/>
        <w:gridCol w:w="3343"/>
      </w:tblGrid>
      <w:tr w:rsidR="00755BA0" w:rsidRPr="00ED0F1B" w:rsidTr="00EE7C4A">
        <w:tc>
          <w:tcPr>
            <w:tcW w:w="3187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164" w:type="dxa"/>
          </w:tcPr>
          <w:p w:rsidR="00755BA0" w:rsidRPr="00ED0F1B" w:rsidRDefault="00755BA0" w:rsidP="00EE7C4A">
            <w:pPr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sdt>
          <w:sdtPr>
            <w:rPr>
              <w:rFonts w:ascii="Times New Roman" w:hAnsi="Times New Roman" w:cs="Times New Roman"/>
              <w:sz w:val="28"/>
            </w:rPr>
            <w:id w:val="-731619561"/>
            <w:placeholder>
              <w:docPart w:val="DefaultPlaceholder_1082065160"/>
            </w:placeholder>
            <w:date w:fullDate="2024-05-16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343" w:type="dxa"/>
              </w:tcPr>
              <w:p w:rsidR="00755BA0" w:rsidRPr="00ED0F1B" w:rsidRDefault="00AC1D3B" w:rsidP="00EE7C4A">
                <w:pPr>
                  <w:overflowPunct w:val="0"/>
                  <w:spacing w:after="0" w:line="240" w:lineRule="auto"/>
                  <w:jc w:val="right"/>
                  <w:textAlignment w:val="baseline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sz w:val="28"/>
                  </w:rPr>
                  <w:t>16 мая 2024 г.</w:t>
                </w:r>
              </w:p>
            </w:tc>
          </w:sdtContent>
        </w:sdt>
      </w:tr>
    </w:tbl>
    <w:p w:rsidR="003E6818" w:rsidRDefault="00755BA0" w:rsidP="00A07DBA">
      <w:pPr>
        <w:pStyle w:val="a4"/>
        <w:spacing w:before="480"/>
      </w:pPr>
      <w:proofErr w:type="gramStart"/>
      <w:r w:rsidRPr="002943B6">
        <w:t>Основание для проведения экспертно-аналитического мероприятия</w:t>
      </w:r>
      <w:r w:rsidR="0078457E">
        <w:t xml:space="preserve">: </w:t>
      </w:r>
      <w:r w:rsidR="00FD7008" w:rsidRPr="00FD7008">
        <w:t xml:space="preserve">ч.2 статьи 9 Федерального закона от 07.02.2011 г. №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="0074688C" w:rsidRPr="0074688C">
        <w:t>п. 12 Положения о бюджетном процессе в Грачевском муниципальном округе Ставропольского края, ст. 8 Положения о Контрольно-счетной комиссии Грачевского муниципального округа Ставропольского края, утвержденного решением Совета Грачевского муниципального округа Ставропольского края</w:t>
      </w:r>
      <w:proofErr w:type="gramEnd"/>
      <w:r w:rsidR="0074688C" w:rsidRPr="0074688C">
        <w:t xml:space="preserve"> от 07.12.2020 № 64</w:t>
      </w:r>
      <w:r w:rsidR="00C409B5">
        <w:t>, п. 1.3</w:t>
      </w:r>
      <w:r w:rsidR="00FD7008" w:rsidRPr="00FD7008">
        <w:t xml:space="preserve"> Плана работы Контрольно-счетной комиссии Грачевского муниципального </w:t>
      </w:r>
      <w:r w:rsidR="004B2D43">
        <w:t>округа</w:t>
      </w:r>
      <w:r w:rsidR="00FD7008" w:rsidRPr="00FD7008">
        <w:t xml:space="preserve"> Ст</w:t>
      </w:r>
      <w:r w:rsidR="0074688C">
        <w:t>авропольского края на 202</w:t>
      </w:r>
      <w:r w:rsidR="00E71624">
        <w:t>3</w:t>
      </w:r>
      <w:r w:rsidR="0074688C">
        <w:t xml:space="preserve"> год.</w:t>
      </w:r>
    </w:p>
    <w:p w:rsidR="00755BA0" w:rsidRPr="00ED0F1B" w:rsidRDefault="00755BA0" w:rsidP="00EE7C4A">
      <w:pPr>
        <w:pStyle w:val="a4"/>
      </w:pPr>
      <w:r w:rsidRPr="00ED0F1B">
        <w:t>Цели экспертно-аналитического мероприятия:</w:t>
      </w:r>
    </w:p>
    <w:p w:rsidR="000A2240" w:rsidRPr="000A2240" w:rsidRDefault="000A2240" w:rsidP="00EE7C4A">
      <w:pPr>
        <w:pStyle w:val="a"/>
      </w:pPr>
      <w:r w:rsidRPr="000A2240">
        <w:t>определение полноты и своевременности поступления денежных средств и их расходования в ходе исполнения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определение объема и структуры муниципального долга, размера дефицита (профицита) бюджета, источников финансирования дефицита бюджета;</w:t>
      </w:r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proofErr w:type="gramStart"/>
      <w:r w:rsidRPr="000A2240">
        <w:rPr>
          <w:rFonts w:eastAsia="Times New Roman"/>
        </w:rPr>
        <w:t>проведение анализа фактических показателей и сравнения их с показателями, утвержденными решением о бюджете на очередной финансовый год и плановый период (с последующими изменениями), сводной бюджетной росписью расходов бюджета и источников финансирования дефицита бюджета,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0A2240" w:rsidRPr="000A2240" w:rsidRDefault="000A2240" w:rsidP="00EE7C4A">
      <w:pPr>
        <w:pStyle w:val="a4"/>
        <w:numPr>
          <w:ilvl w:val="0"/>
          <w:numId w:val="1"/>
        </w:numPr>
        <w:rPr>
          <w:rFonts w:eastAsia="Times New Roman"/>
        </w:rPr>
      </w:pPr>
      <w:r w:rsidRPr="000A2240">
        <w:rPr>
          <w:rFonts w:eastAsia="Times New Roman"/>
        </w:rPr>
        <w:t>выявление нарушений в ходе исполнения бюджета, внесение предложений по их устранению.</w:t>
      </w:r>
    </w:p>
    <w:p w:rsidR="00755BA0" w:rsidRPr="00ED0F1B" w:rsidRDefault="00755BA0" w:rsidP="00EE7C4A">
      <w:pPr>
        <w:pStyle w:val="a4"/>
      </w:pPr>
      <w:r w:rsidRPr="00ED0F1B">
        <w:t xml:space="preserve">Предмет экспертно-аналитического мероприятия: </w:t>
      </w:r>
      <w:r w:rsidR="00FD7008" w:rsidRPr="00FD7008">
        <w:t>отчет об исполнении бюджета</w:t>
      </w:r>
      <w:r w:rsidR="00EE7C4A">
        <w:t xml:space="preserve"> </w:t>
      </w:r>
      <w:r w:rsidR="00FD7008" w:rsidRPr="00FD7008">
        <w:t xml:space="preserve">Грачевского муниципального </w:t>
      </w:r>
      <w:r w:rsidR="0074688C">
        <w:t>округа</w:t>
      </w:r>
      <w:r w:rsidR="00FD7008">
        <w:t xml:space="preserve"> Ставропольского края за </w:t>
      </w:r>
      <w:r w:rsidR="00AC1D3B">
        <w:t>1</w:t>
      </w:r>
      <w:r w:rsidR="006E0372">
        <w:t> </w:t>
      </w:r>
      <w:r w:rsidR="00AC1D3B">
        <w:t>квартал</w:t>
      </w:r>
      <w:r w:rsidR="00C409B5">
        <w:t xml:space="preserve"> </w:t>
      </w:r>
      <w:r w:rsidR="00FD7008" w:rsidRPr="00FD7008">
        <w:t>202</w:t>
      </w:r>
      <w:r w:rsidR="00AC1D3B">
        <w:t>4</w:t>
      </w:r>
      <w:r w:rsidR="00FD7008" w:rsidRPr="00FD7008">
        <w:t xml:space="preserve"> года</w:t>
      </w:r>
      <w:r w:rsidR="000A2240" w:rsidRPr="000A2240">
        <w:t>.</w:t>
      </w:r>
      <w:r w:rsidR="00EE7C4A">
        <w:t xml:space="preserve"> </w:t>
      </w:r>
    </w:p>
    <w:p w:rsidR="00755BA0" w:rsidRPr="00ED0F1B" w:rsidRDefault="00755BA0" w:rsidP="00EE7C4A">
      <w:pPr>
        <w:pStyle w:val="a4"/>
      </w:pPr>
      <w:r w:rsidRPr="00ED0F1B">
        <w:t xml:space="preserve">Объект экспертно-аналитического мероприятия: </w:t>
      </w:r>
      <w:r w:rsidR="00C670B0" w:rsidRPr="00C670B0">
        <w:t xml:space="preserve">финансовое управление администрации Грачевского муниципального </w:t>
      </w:r>
      <w:r w:rsidR="0074688C">
        <w:t>округа</w:t>
      </w:r>
      <w:r w:rsidR="00C670B0" w:rsidRPr="00C670B0">
        <w:t xml:space="preserve">, как орган, организующий исполнение бюджета Грачевского муниципального </w:t>
      </w:r>
      <w:r w:rsidR="004B2D43">
        <w:t>округа</w:t>
      </w:r>
      <w:r w:rsidR="00C670B0" w:rsidRPr="00C670B0">
        <w:t xml:space="preserve"> (далее – финансовое управление)</w:t>
      </w:r>
      <w:r w:rsidR="00C670B0">
        <w:t>.</w:t>
      </w:r>
    </w:p>
    <w:p w:rsidR="000A2240" w:rsidRDefault="00755BA0" w:rsidP="00EE7C4A">
      <w:pPr>
        <w:pStyle w:val="a4"/>
      </w:pPr>
      <w:r w:rsidRPr="00ED0F1B">
        <w:t>Проверяемый</w:t>
      </w:r>
      <w:r w:rsidR="00EE7C4A">
        <w:t xml:space="preserve"> </w:t>
      </w:r>
      <w:r w:rsidRPr="00ED0F1B">
        <w:t xml:space="preserve">период: </w:t>
      </w:r>
      <w:r w:rsidR="00AC1D3B" w:rsidRPr="00AC1D3B">
        <w:t xml:space="preserve">1 квартал 2024 </w:t>
      </w:r>
      <w:r w:rsidR="0074688C" w:rsidRPr="0074688C">
        <w:t>года</w:t>
      </w:r>
      <w:r w:rsidR="000A2240" w:rsidRPr="000A2240">
        <w:t>.</w:t>
      </w:r>
    </w:p>
    <w:p w:rsidR="00C670B0" w:rsidRDefault="00755BA0" w:rsidP="00EE7C4A">
      <w:pPr>
        <w:pStyle w:val="a4"/>
      </w:pPr>
      <w:r w:rsidRPr="00ED0F1B">
        <w:t>Срок</w:t>
      </w:r>
      <w:r w:rsidR="00EE7C4A">
        <w:t xml:space="preserve"> </w:t>
      </w:r>
      <w:r w:rsidRPr="00ED0F1B">
        <w:t xml:space="preserve">проведения экспертно-аналитического мероприятия: </w:t>
      </w:r>
      <w:r w:rsidR="00FD7008">
        <w:t xml:space="preserve">с </w:t>
      </w:r>
      <w:r w:rsidR="00AC1D3B">
        <w:t>13</w:t>
      </w:r>
      <w:r w:rsidR="00C409B5">
        <w:t xml:space="preserve"> по </w:t>
      </w:r>
      <w:r w:rsidR="00AC1D3B">
        <w:t>16</w:t>
      </w:r>
      <w:r w:rsidR="00C409B5">
        <w:t> </w:t>
      </w:r>
      <w:r w:rsidR="00AC1D3B">
        <w:t>мая</w:t>
      </w:r>
      <w:r w:rsidR="006E0372">
        <w:t xml:space="preserve"> </w:t>
      </w:r>
      <w:r w:rsidR="00C409B5" w:rsidRPr="00C409B5">
        <w:t>202</w:t>
      </w:r>
      <w:r w:rsidR="00AC1D3B">
        <w:t>4</w:t>
      </w:r>
      <w:r w:rsidR="00C409B5" w:rsidRPr="00C409B5">
        <w:t xml:space="preserve"> </w:t>
      </w:r>
      <w:r w:rsidR="00FD7008" w:rsidRPr="00FD7008">
        <w:t>года</w:t>
      </w:r>
      <w:r w:rsidR="000A2240" w:rsidRPr="000A2240">
        <w:t>.</w:t>
      </w:r>
    </w:p>
    <w:p w:rsidR="00D864A2" w:rsidRDefault="005551B3" w:rsidP="00EE7C4A">
      <w:pPr>
        <w:pStyle w:val="a4"/>
      </w:pPr>
      <w:r>
        <w:lastRenderedPageBreak/>
        <w:t>По результатам экспертно-аналитического мероприятия</w:t>
      </w:r>
      <w:r w:rsidR="00A93CA6" w:rsidRPr="00A93CA6">
        <w:t xml:space="preserve"> установлено следующее</w:t>
      </w:r>
      <w:r w:rsidR="00815E2C" w:rsidRPr="002943B6">
        <w:t>:</w:t>
      </w:r>
    </w:p>
    <w:p w:rsidR="00AD24B3" w:rsidRPr="00AD24B3" w:rsidRDefault="00AC1D3B" w:rsidP="00EE7C4A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Отчет об исполнении бюджета Грачевс</w:t>
      </w:r>
      <w:r>
        <w:rPr>
          <w:rFonts w:eastAsia="Times New Roman"/>
          <w:bCs/>
        </w:rPr>
        <w:t>кого муниципального округа за I </w:t>
      </w:r>
      <w:r w:rsidRPr="00AC1D3B">
        <w:rPr>
          <w:rFonts w:eastAsia="Times New Roman"/>
          <w:bCs/>
        </w:rPr>
        <w:t>квартал 2024 года представлен Советом Грачевского муниципального округа в КСК в срок, установленный пунктом 55 Положения о бюджетном процессе в Грачевском муниципальном округе Ставропольского края</w:t>
      </w:r>
      <w:r w:rsidR="00AD24B3" w:rsidRPr="00AD24B3">
        <w:rPr>
          <w:rFonts w:eastAsia="Times New Roman"/>
          <w:bCs/>
        </w:rPr>
        <w:t>.</w:t>
      </w:r>
    </w:p>
    <w:p w:rsidR="00AD24B3" w:rsidRPr="00AD24B3" w:rsidRDefault="00AC1D3B" w:rsidP="00EE7C4A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В соответствии с пунктом 5 статьи 264.2 Бюджетного кодекса РФ отчет об исполнении бюджета Грачевского муниципа</w:t>
      </w:r>
      <w:r>
        <w:rPr>
          <w:rFonts w:eastAsia="Times New Roman"/>
          <w:bCs/>
        </w:rPr>
        <w:t>льного округа за I квартал 2024 </w:t>
      </w:r>
      <w:r w:rsidRPr="00AC1D3B">
        <w:rPr>
          <w:rFonts w:eastAsia="Times New Roman"/>
          <w:bCs/>
        </w:rPr>
        <w:t>года утвержден распоряжением администрации Грачевского муниципального округа</w:t>
      </w:r>
      <w:r w:rsidR="006E0372" w:rsidRPr="006E0372">
        <w:rPr>
          <w:rFonts w:eastAsia="Times New Roman"/>
          <w:bCs/>
        </w:rPr>
        <w:t>.</w:t>
      </w:r>
      <w:r w:rsidR="00EE7C4A">
        <w:rPr>
          <w:rFonts w:eastAsia="Times New Roman"/>
          <w:bCs/>
        </w:rPr>
        <w:t xml:space="preserve"> </w:t>
      </w:r>
    </w:p>
    <w:p w:rsidR="00AC1D3B" w:rsidRPr="00AC1D3B" w:rsidRDefault="00AC1D3B" w:rsidP="00AC1D3B">
      <w:pPr>
        <w:pStyle w:val="a"/>
        <w:rPr>
          <w:bCs/>
        </w:rPr>
      </w:pPr>
      <w:r w:rsidRPr="00AC1D3B">
        <w:rPr>
          <w:bCs/>
        </w:rPr>
        <w:t>Бюджет Грачевского муниципального</w:t>
      </w:r>
      <w:r>
        <w:rPr>
          <w:bCs/>
        </w:rPr>
        <w:t xml:space="preserve"> округа за отчетный период 2024 </w:t>
      </w:r>
      <w:r w:rsidRPr="00AC1D3B">
        <w:rPr>
          <w:bCs/>
        </w:rPr>
        <w:t xml:space="preserve">года исполнен: </w:t>
      </w:r>
    </w:p>
    <w:p w:rsidR="00AC1D3B" w:rsidRPr="00AC1D3B" w:rsidRDefault="00AC1D3B" w:rsidP="00AC1D3B">
      <w:pPr>
        <w:pStyle w:val="a"/>
        <w:rPr>
          <w:bCs/>
        </w:rPr>
      </w:pPr>
      <w:r w:rsidRPr="00AC1D3B">
        <w:rPr>
          <w:bCs/>
        </w:rPr>
        <w:t xml:space="preserve">по доходам - в объеме 278 386,82 тыс. рублей или 19,12% утвержденного бюджета (за аналогичный период 2023 года – 294 157,71 тыс. рублей или 62,71% утвержденного бюджета); </w:t>
      </w:r>
    </w:p>
    <w:p w:rsidR="00AC1D3B" w:rsidRPr="00AC1D3B" w:rsidRDefault="00AC1D3B" w:rsidP="00AC1D3B">
      <w:pPr>
        <w:pStyle w:val="a"/>
        <w:rPr>
          <w:bCs/>
        </w:rPr>
      </w:pPr>
      <w:r w:rsidRPr="00AC1D3B">
        <w:rPr>
          <w:bCs/>
        </w:rPr>
        <w:t xml:space="preserve">по расходам – в объеме 257 830,85 рублей или 16,24% сводной бюджетной росписи (за аналогичный период 2023 года – 305 267,49 тыс. рублей или 17,60% сводной бюджетной росписи); </w:t>
      </w:r>
    </w:p>
    <w:p w:rsidR="006E0372" w:rsidRPr="006E0372" w:rsidRDefault="00AC1D3B" w:rsidP="00AC1D3B">
      <w:pPr>
        <w:pStyle w:val="a"/>
      </w:pPr>
      <w:r w:rsidRPr="00AC1D3B">
        <w:rPr>
          <w:bCs/>
        </w:rPr>
        <w:t>с профицитом в размере 20 555,97 тыс. рублей при утвержденном годовом дефиците в размере 45 230,62 тыс. рублей (в аналогичном периоде 2023 года бюджет Грачевского муниципального округа был исполнен с дефицитом в размере 11 109,78 тыс. рублей, при утвержденном годовом дефиците в размере 48 150,30 тыс. рублей)</w:t>
      </w:r>
      <w:r w:rsidR="006E0372" w:rsidRPr="006E0372">
        <w:t xml:space="preserve">. 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proofErr w:type="gramStart"/>
      <w:r w:rsidRPr="00AC1D3B">
        <w:rPr>
          <w:rFonts w:eastAsia="Times New Roman"/>
          <w:bCs/>
        </w:rPr>
        <w:t xml:space="preserve">Поступление доходов в бюджет Грачевского муниципального округа уменьшилось по сравнению с аналогичным </w:t>
      </w:r>
      <w:r>
        <w:rPr>
          <w:rFonts w:eastAsia="Times New Roman"/>
          <w:bCs/>
        </w:rPr>
        <w:t>периодом 2023 года на 15 770,89 </w:t>
      </w:r>
      <w:r w:rsidRPr="00AC1D3B">
        <w:rPr>
          <w:rFonts w:eastAsia="Times New Roman"/>
          <w:bCs/>
        </w:rPr>
        <w:t>тыс. рублей или на 5,36% (за I квартал 2023 года объем доходов бюджета Грачевского муниципального округа составил 294 157,71 тыс. рублей), при этом налоговые и неналоговые доходы выросли на 9,05%, безвозмездные поступления уменьшились на 8,56%).</w:t>
      </w:r>
      <w:proofErr w:type="gramEnd"/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Поступление налоговых доходов в бюджет Грачевского муниципального округа в отчетном периоде по сравнению с тем же периодом 2023 года снизилось на 1 921,73 тыс. рублей или на 4,30% и составило 42 733,70 тыс. рублей (налоговые доходы за I квартал 2023 года составляли 44 655,43 тыс. рублей).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За I квартал 2024 года по сравнению с аналогичным периодом 2023 года в бюджет Грачевского муниципального округа неналоговых доходов поступило на 6 755,16 тыс. рублей или на 77,23% больше, (за I квартал 2023 года поступление неналоговых доходов в бюджет Грачевского муниципального округа составило 8 747,02 тыс. рублей).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proofErr w:type="gramStart"/>
      <w:r w:rsidRPr="00AC1D3B">
        <w:rPr>
          <w:rFonts w:eastAsia="Times New Roman"/>
          <w:bCs/>
        </w:rPr>
        <w:t>За I квартал 2024 года объем безвозмездных поступлений в бюджет Грачевского муниципального округа без учета возврата средств в краевой бюджет составил 220 180,17 тыс. рублей или 18,55% к годовым плановым назначениям (1 186 870,51 тыс. рублей) (за I</w:t>
      </w:r>
      <w:r>
        <w:rPr>
          <w:rFonts w:eastAsia="Times New Roman"/>
          <w:bCs/>
        </w:rPr>
        <w:t xml:space="preserve"> квартал 2023 года – 241 094,92 </w:t>
      </w:r>
      <w:r w:rsidRPr="00AC1D3B">
        <w:rPr>
          <w:rFonts w:eastAsia="Times New Roman"/>
          <w:bCs/>
        </w:rPr>
        <w:t>рублей или 21,01% к годовым плановым</w:t>
      </w:r>
      <w:r>
        <w:rPr>
          <w:rFonts w:eastAsia="Times New Roman"/>
          <w:bCs/>
        </w:rPr>
        <w:t xml:space="preserve"> назначениям (1 385 391,31 </w:t>
      </w:r>
      <w:r w:rsidRPr="00AC1D3B">
        <w:rPr>
          <w:rFonts w:eastAsia="Times New Roman"/>
          <w:bCs/>
        </w:rPr>
        <w:t>тыс. рублей)).</w:t>
      </w:r>
      <w:proofErr w:type="gramEnd"/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lastRenderedPageBreak/>
        <w:t>За I квартал 2024 года бюджет Грачевского муниципального округа по расходам исполнен в объеме 257 830,85 тыс. рублей или 16,24% сводной бюджетной росписи (1 587 307,88 тыс. рублей).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В аналогичном периоде 2023 года исполнение бюджета Грачевского муниципального округа по расходам составило 305 267,49 тыс. рублей или 17,60% сводной бюджетной росписи (1 734 533,72 тыс. рублей).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Уровень исполнения бюджета Грачевского муниципального округа по разделам классификации расходов бюджетов составил от 6,85% сводной бюджетной росписи по разделу «Национальная экономика» до 29,54% по разделу «Социальная политика».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Наиболее низкий уровень исполнения отмечается по 3 разделам (ниже уровня среднего значения исполнения сводной бюджетной росписи на 01.04.2024 года (16,24%)): «Национальная экономика» – исполнение составило 6,85%, «Жилищно-коммунальное хозяйство» – 8,72%, «Образование» – 15,65%.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Бюджет Грачевского муниципального округа сохраняет свою социальную направленность. Доля исполненных расходов на социальную сферу составляет 80,86% (208 477,75 тыс. рублей) от общей суммы расходов бюджета Грачевского муниципального округа (257 830,85 тыс. рублей). Относительно аналогичного периода 2023 года показатель увеличился на 0,74%.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Диапазон кассового исполнения бюджета Грачевского муниципального округа в отчетном периоде главными распорядителями бюджетных средств составил от 5,99% до 32,16%.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Общий объем расходов бюджета Грачевского муниципального округа, предусмотренных на реализацию 16 муниципальных программ Грачевского муниципального округа, составляет 1 433 235,02 тыс. рублей или 90,30% общего объема расходов бюджета Грачевского муниципального округа, утвержденного сводной бюджетной росписью 1 587 307,88 тыс. рублей.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По состоянию на 01.04.2024 исполнение мероприятий муниципальных программ составило 232 737,91 тыс. рублей или 16,24% сводной бюджетной росписи.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За отчетный период исполнение расходов ниже уровня среднего значения сложилось по 6-ти муниципальным программам: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МП «Развитие образования в Грачевском муниципальном округе Ставропольского края» – 15,54%;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МП «Молодежь Грачевского муниципального округа Ставропольского края» – 9,67%;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МП «Развитие транспортной системы и обеспечение безопасности дорожного движения на территории Грачевского муниципального округа Ставропольского края» – 6,91%;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МП «Развитие сельского хозяйства Грачевского муниципального округа Ставропольского края» – 6,32%;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МП «Развитие муниципальной службы и противодействие коррупции в Грачевском муниципальном округе» – 2,73%;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 xml:space="preserve">МП «Энергосбережение и повышение энергетической эффективности на территории Грачевского муниципального округа Ставропольского края» – </w:t>
      </w:r>
      <w:r w:rsidRPr="00AC1D3B">
        <w:rPr>
          <w:rFonts w:eastAsia="Times New Roman"/>
          <w:bCs/>
        </w:rPr>
        <w:lastRenderedPageBreak/>
        <w:t>0,91%.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 xml:space="preserve">По 4-м муниципальным программам: </w:t>
      </w:r>
      <w:proofErr w:type="gramStart"/>
      <w:r w:rsidRPr="00AC1D3B">
        <w:rPr>
          <w:rFonts w:eastAsia="Times New Roman"/>
          <w:bCs/>
        </w:rPr>
        <w:t>МП «Управление финансами Грачевского муниципального округа Ставропольского края», МП «Безопасный муниципальный округ», МП «Создание условий для обеспечения доступным и комфортным жильем граждан Грачевского муниципального округа Ставропольского края», МП «Формирование современной городской среды на территории Грачевского муниципального округа Ставропольского края на 2018-2024 годы» в отчетном периоде 2024 года расходы за счет средств бюджета Грачевского муниципального округа не осуществлялись.</w:t>
      </w:r>
      <w:proofErr w:type="gramEnd"/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Уточненным Решением о бюджете на 2024 год предусмотрены бюджетные ассигнования на реализацию 4-х</w:t>
      </w:r>
      <w:r>
        <w:rPr>
          <w:rFonts w:eastAsia="Times New Roman"/>
          <w:bCs/>
        </w:rPr>
        <w:t xml:space="preserve"> национальных проектов (НП </w:t>
      </w:r>
      <w:r w:rsidRPr="00AC1D3B">
        <w:rPr>
          <w:rFonts w:eastAsia="Times New Roman"/>
          <w:bCs/>
        </w:rPr>
        <w:t>«Образование»; НП «Жилье и городс</w:t>
      </w:r>
      <w:r>
        <w:rPr>
          <w:rFonts w:eastAsia="Times New Roman"/>
          <w:bCs/>
        </w:rPr>
        <w:t>кая среда», НП «Демография»; НП </w:t>
      </w:r>
      <w:r w:rsidRPr="00AC1D3B">
        <w:rPr>
          <w:rFonts w:eastAsia="Times New Roman"/>
          <w:bCs/>
        </w:rPr>
        <w:t>«Безопасные и качественные автомобильн</w:t>
      </w:r>
      <w:r>
        <w:rPr>
          <w:rFonts w:eastAsia="Times New Roman"/>
          <w:bCs/>
        </w:rPr>
        <w:t>ые дороги») в объеме 173 164,99 </w:t>
      </w:r>
      <w:r w:rsidRPr="00AC1D3B">
        <w:rPr>
          <w:rFonts w:eastAsia="Times New Roman"/>
          <w:bCs/>
        </w:rPr>
        <w:t>тыс. рублей.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Объем расходов в рамках национальных проектов предусмотрен путем реализации мероприятий пяти региональных проектов. Реализация региональных проектов осуществляется через муниципальные программы округа.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По состоянию на 01.04.2024 года исполнение мероприятий муниципальных программ в рамках реализации региональных проектов составило 40 601,38 тыс. рублей или 8,60% сводной бюджетной росписи.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Бюджет Грачевского муниципального округа за I квартал 2024 года исполнен с профицитом в сумме 20 555,97 тыс. рублей, при утвержденном дефиците бюджета в размере 45 230,62 тыс. рублей.</w:t>
      </w:r>
    </w:p>
    <w:p w:rsidR="00AC1D3B" w:rsidRPr="00AC1D3B" w:rsidRDefault="00AC1D3B" w:rsidP="00AC1D3B">
      <w:pPr>
        <w:pStyle w:val="a4"/>
        <w:rPr>
          <w:rFonts w:eastAsia="Times New Roman"/>
          <w:bCs/>
        </w:rPr>
      </w:pPr>
      <w:r w:rsidRPr="00AC1D3B">
        <w:rPr>
          <w:rFonts w:eastAsia="Times New Roman"/>
          <w:bCs/>
        </w:rPr>
        <w:t>По состоянию на 01.04.2024 численность муниципальных служащих и работников муниципальных учреждений Грачевского муниципального округа по сравнению с аналогичным периодом про</w:t>
      </w:r>
      <w:r>
        <w:rPr>
          <w:rFonts w:eastAsia="Times New Roman"/>
          <w:bCs/>
        </w:rPr>
        <w:t>шлого года уменьшилась на 59,27 </w:t>
      </w:r>
      <w:r w:rsidRPr="00AC1D3B">
        <w:rPr>
          <w:rFonts w:eastAsia="Times New Roman"/>
          <w:bCs/>
        </w:rPr>
        <w:t>человека и составила 1 781,7 человека.</w:t>
      </w:r>
    </w:p>
    <w:p w:rsidR="00AD24B3" w:rsidRDefault="00AC1D3B" w:rsidP="00AC1D3B">
      <w:pPr>
        <w:pStyle w:val="a4"/>
      </w:pPr>
      <w:r w:rsidRPr="00AC1D3B">
        <w:rPr>
          <w:rFonts w:eastAsia="Times New Roman"/>
          <w:bCs/>
        </w:rPr>
        <w:t>Исполненный бюджет Грачевского муниципального округа за I квартал 2024 года по доходам и расходам и источникам финансирования дефицита бюджета сбалансирован</w:t>
      </w:r>
      <w:r w:rsidR="006E0372" w:rsidRPr="006E0372">
        <w:rPr>
          <w:rFonts w:eastAsia="Times New Roman"/>
          <w:bCs/>
        </w:rPr>
        <w:t>.</w:t>
      </w:r>
      <w:r w:rsidR="00EE7C4A">
        <w:t xml:space="preserve"> </w:t>
      </w:r>
      <w:r w:rsidR="006E774C">
        <w:tab/>
      </w:r>
    </w:p>
    <w:p w:rsidR="001A2589" w:rsidRDefault="001A2589" w:rsidP="00EE7C4A">
      <w:pPr>
        <w:pStyle w:val="a4"/>
      </w:pPr>
      <w:r w:rsidRPr="002943B6">
        <w:t>Возражения или замечания руководителей или иных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sectPr w:rsidR="001A2589" w:rsidSect="006E77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38B2"/>
    <w:multiLevelType w:val="hybridMultilevel"/>
    <w:tmpl w:val="1660A354"/>
    <w:lvl w:ilvl="0" w:tplc="6D827EA8">
      <w:start w:val="1"/>
      <w:numFmt w:val="bullet"/>
      <w:pStyle w:val="a"/>
      <w:lvlText w:val="-"/>
      <w:lvlJc w:val="left"/>
      <w:pPr>
        <w:tabs>
          <w:tab w:val="num" w:pos="964"/>
        </w:tabs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0688C"/>
    <w:rsid w:val="000150DE"/>
    <w:rsid w:val="000341F7"/>
    <w:rsid w:val="0005384C"/>
    <w:rsid w:val="0009041A"/>
    <w:rsid w:val="000A2240"/>
    <w:rsid w:val="000D0BA5"/>
    <w:rsid w:val="000E11B8"/>
    <w:rsid w:val="00131503"/>
    <w:rsid w:val="00156DB1"/>
    <w:rsid w:val="00181DCE"/>
    <w:rsid w:val="0019792F"/>
    <w:rsid w:val="001A2589"/>
    <w:rsid w:val="001C208A"/>
    <w:rsid w:val="001C3445"/>
    <w:rsid w:val="001E3861"/>
    <w:rsid w:val="001F2D3D"/>
    <w:rsid w:val="0022247D"/>
    <w:rsid w:val="002377A1"/>
    <w:rsid w:val="00273A1D"/>
    <w:rsid w:val="002801DA"/>
    <w:rsid w:val="00282B61"/>
    <w:rsid w:val="00283732"/>
    <w:rsid w:val="00285B84"/>
    <w:rsid w:val="002943B6"/>
    <w:rsid w:val="0029535F"/>
    <w:rsid w:val="002B5739"/>
    <w:rsid w:val="002E5849"/>
    <w:rsid w:val="002E5A21"/>
    <w:rsid w:val="00324FEB"/>
    <w:rsid w:val="0034372A"/>
    <w:rsid w:val="00363F03"/>
    <w:rsid w:val="00384FC6"/>
    <w:rsid w:val="003B55E2"/>
    <w:rsid w:val="003E5BEF"/>
    <w:rsid w:val="003E6818"/>
    <w:rsid w:val="003E7C8D"/>
    <w:rsid w:val="003F0037"/>
    <w:rsid w:val="003F3A82"/>
    <w:rsid w:val="00406A37"/>
    <w:rsid w:val="004220E9"/>
    <w:rsid w:val="00476EAF"/>
    <w:rsid w:val="00487D87"/>
    <w:rsid w:val="00493055"/>
    <w:rsid w:val="004B2D43"/>
    <w:rsid w:val="004C29E9"/>
    <w:rsid w:val="00504948"/>
    <w:rsid w:val="00554287"/>
    <w:rsid w:val="005551B3"/>
    <w:rsid w:val="005663B2"/>
    <w:rsid w:val="00584E5C"/>
    <w:rsid w:val="00592B10"/>
    <w:rsid w:val="005B04C3"/>
    <w:rsid w:val="005C5700"/>
    <w:rsid w:val="005D03B2"/>
    <w:rsid w:val="005E6822"/>
    <w:rsid w:val="005F1F15"/>
    <w:rsid w:val="006008D0"/>
    <w:rsid w:val="006053B8"/>
    <w:rsid w:val="006365E2"/>
    <w:rsid w:val="006766A7"/>
    <w:rsid w:val="006C6038"/>
    <w:rsid w:val="006E0372"/>
    <w:rsid w:val="006E46BB"/>
    <w:rsid w:val="006E774C"/>
    <w:rsid w:val="00724F7C"/>
    <w:rsid w:val="007366D7"/>
    <w:rsid w:val="0074688C"/>
    <w:rsid w:val="00753B84"/>
    <w:rsid w:val="00755BA0"/>
    <w:rsid w:val="0078457E"/>
    <w:rsid w:val="00795B1D"/>
    <w:rsid w:val="00815E2C"/>
    <w:rsid w:val="00821D82"/>
    <w:rsid w:val="00866BE0"/>
    <w:rsid w:val="008F4655"/>
    <w:rsid w:val="00911619"/>
    <w:rsid w:val="0092243D"/>
    <w:rsid w:val="00925D38"/>
    <w:rsid w:val="009A66BB"/>
    <w:rsid w:val="009C618F"/>
    <w:rsid w:val="009E0130"/>
    <w:rsid w:val="009E2B21"/>
    <w:rsid w:val="009F6B36"/>
    <w:rsid w:val="00A07DBA"/>
    <w:rsid w:val="00A338E8"/>
    <w:rsid w:val="00A546BF"/>
    <w:rsid w:val="00A93CA6"/>
    <w:rsid w:val="00A96A05"/>
    <w:rsid w:val="00AC1D3B"/>
    <w:rsid w:val="00AD24B3"/>
    <w:rsid w:val="00AE5B51"/>
    <w:rsid w:val="00B3709D"/>
    <w:rsid w:val="00B416D3"/>
    <w:rsid w:val="00B46AFE"/>
    <w:rsid w:val="00B5701B"/>
    <w:rsid w:val="00B64DB1"/>
    <w:rsid w:val="00B9173A"/>
    <w:rsid w:val="00BA1ACF"/>
    <w:rsid w:val="00BC28DB"/>
    <w:rsid w:val="00BE4393"/>
    <w:rsid w:val="00C22EA9"/>
    <w:rsid w:val="00C409B5"/>
    <w:rsid w:val="00C670B0"/>
    <w:rsid w:val="00C80F5B"/>
    <w:rsid w:val="00CA69D5"/>
    <w:rsid w:val="00CC3407"/>
    <w:rsid w:val="00D02949"/>
    <w:rsid w:val="00D51115"/>
    <w:rsid w:val="00D66DC4"/>
    <w:rsid w:val="00D70C34"/>
    <w:rsid w:val="00D864A2"/>
    <w:rsid w:val="00DD29E1"/>
    <w:rsid w:val="00DE37D4"/>
    <w:rsid w:val="00E345E5"/>
    <w:rsid w:val="00E71624"/>
    <w:rsid w:val="00E73A1A"/>
    <w:rsid w:val="00EB188A"/>
    <w:rsid w:val="00EE7C4A"/>
    <w:rsid w:val="00F30229"/>
    <w:rsid w:val="00F320FE"/>
    <w:rsid w:val="00F54CF1"/>
    <w:rsid w:val="00F66566"/>
    <w:rsid w:val="00F74F61"/>
    <w:rsid w:val="00F96D9B"/>
    <w:rsid w:val="00FD700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7C4A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0"/>
    <w:next w:val="a0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0"/>
    <w:next w:val="a0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1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4">
    <w:name w:val="Основной"/>
    <w:basedOn w:val="a0"/>
    <w:qFormat/>
    <w:rsid w:val="00EE7C4A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">
    <w:name w:val="Список_тире"/>
    <w:basedOn w:val="a4"/>
    <w:qFormat/>
    <w:rsid w:val="00EE7C4A"/>
    <w:pPr>
      <w:numPr>
        <w:numId w:val="1"/>
      </w:numPr>
    </w:pPr>
    <w:rPr>
      <w:rFonts w:eastAsia="Times New Roman"/>
    </w:rPr>
  </w:style>
  <w:style w:type="character" w:styleId="a5">
    <w:name w:val="Placeholder Text"/>
    <w:basedOn w:val="a1"/>
    <w:uiPriority w:val="99"/>
    <w:semiHidden/>
    <w:rsid w:val="00E71624"/>
    <w:rPr>
      <w:color w:val="808080"/>
    </w:rPr>
  </w:style>
  <w:style w:type="paragraph" w:styleId="a6">
    <w:name w:val="Balloon Text"/>
    <w:basedOn w:val="a0"/>
    <w:link w:val="a7"/>
    <w:uiPriority w:val="99"/>
    <w:semiHidden/>
    <w:unhideWhenUsed/>
    <w:rsid w:val="00E71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716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C9CA1C-8E8D-4420-A3FA-7417B7A094BF}"/>
      </w:docPartPr>
      <w:docPartBody>
        <w:p w:rsidR="00D92870" w:rsidRDefault="003D2C84">
          <w:r w:rsidRPr="00492580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84"/>
    <w:rsid w:val="0007315E"/>
    <w:rsid w:val="003D2C84"/>
    <w:rsid w:val="004C13F9"/>
    <w:rsid w:val="00507694"/>
    <w:rsid w:val="005C27FB"/>
    <w:rsid w:val="00AF3465"/>
    <w:rsid w:val="00D92870"/>
    <w:rsid w:val="00FC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D2C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4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32</cp:revision>
  <cp:lastPrinted>2019-08-27T08:13:00Z</cp:lastPrinted>
  <dcterms:created xsi:type="dcterms:W3CDTF">2018-12-24T12:06:00Z</dcterms:created>
  <dcterms:modified xsi:type="dcterms:W3CDTF">2024-05-15T07:35:00Z</dcterms:modified>
</cp:coreProperties>
</file>