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C1D3B">
      <w:pPr>
        <w:pStyle w:val="a4"/>
        <w:ind w:firstLine="0"/>
        <w:jc w:val="center"/>
        <w:rPr>
          <w:b/>
        </w:rPr>
      </w:pPr>
      <w:r w:rsidRPr="00A07DBA">
        <w:rPr>
          <w:b/>
        </w:rPr>
        <w:t>ОТЧЕТ</w:t>
      </w:r>
    </w:p>
    <w:p w:rsidR="00755BA0" w:rsidRPr="00A07DBA" w:rsidRDefault="00911619" w:rsidP="00AC1D3B">
      <w:pPr>
        <w:pStyle w:val="a4"/>
        <w:spacing w:after="600"/>
        <w:ind w:firstLine="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</w:t>
      </w:r>
      <w:r w:rsidR="00AC1D3B" w:rsidRPr="00AC1D3B">
        <w:rPr>
          <w:b/>
        </w:rPr>
        <w:br/>
      </w:r>
      <w:r w:rsidRPr="00A07DBA">
        <w:rPr>
          <w:b/>
        </w:rPr>
        <w:t xml:space="preserve">МЕРОПРИЯТИЯ «ОПЕРАТИВНЫЙ АНАЛИЗ ИСПОЛНЕНИЯ БЮДЖЕТА ГРАЧЕВСКОГО МУНИЦИПАЛЬНОГО ОКРУГА СТАВРОПОЛЬСКОГО КРАЯ ЗА </w:t>
      </w:r>
      <w:r w:rsidR="00E735E8">
        <w:rPr>
          <w:b/>
        </w:rPr>
        <w:t>9 МЕСЯЦЕВ</w:t>
      </w:r>
      <w:r w:rsidR="00E735E8" w:rsidRPr="00A07DBA">
        <w:rPr>
          <w:b/>
        </w:rPr>
        <w:t xml:space="preserve"> </w:t>
      </w:r>
      <w:r w:rsidRPr="00A07DBA">
        <w:rPr>
          <w:b/>
        </w:rPr>
        <w:t>202</w:t>
      </w:r>
      <w:r w:rsidR="00AC1D3B">
        <w:rPr>
          <w:b/>
        </w:rPr>
        <w:t>4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4-11-0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4F7F7D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6 ноября 2024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E735E8">
        <w:t>4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E735E8">
        <w:t>9 </w:t>
      </w:r>
      <w:r w:rsidR="00E735E8" w:rsidRPr="00E735E8">
        <w:t>месяцев</w:t>
      </w:r>
      <w:r w:rsidR="00C409B5">
        <w:t xml:space="preserve"> </w:t>
      </w:r>
      <w:r w:rsidR="00FD7008" w:rsidRPr="00FD7008">
        <w:t>202</w:t>
      </w:r>
      <w:r w:rsidR="00AC1D3B">
        <w:t>4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E735E8" w:rsidRPr="00E735E8">
        <w:t>9 месяцев</w:t>
      </w:r>
      <w:r w:rsidR="00AC1D3B" w:rsidRPr="00AC1D3B">
        <w:t xml:space="preserve"> 2024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 w:rsidRPr="00FD2A24">
        <w:t xml:space="preserve">с </w:t>
      </w:r>
      <w:r w:rsidR="00FD2A24" w:rsidRPr="00FD2A24">
        <w:t>3</w:t>
      </w:r>
      <w:r w:rsidR="00E735E8" w:rsidRPr="00FD2A24">
        <w:t>1</w:t>
      </w:r>
      <w:r w:rsidR="00FD2A24" w:rsidRPr="00FD2A24">
        <w:t xml:space="preserve"> октября</w:t>
      </w:r>
      <w:r w:rsidR="00C409B5" w:rsidRPr="00FD2A24">
        <w:t xml:space="preserve"> по </w:t>
      </w:r>
      <w:r w:rsidR="00F6771F">
        <w:t>6</w:t>
      </w:r>
      <w:bookmarkStart w:id="0" w:name="_GoBack"/>
      <w:bookmarkEnd w:id="0"/>
      <w:r w:rsidR="00C409B5" w:rsidRPr="00FD2A24">
        <w:t> </w:t>
      </w:r>
      <w:r w:rsidR="00E735E8" w:rsidRPr="00FD2A24">
        <w:t>ноября</w:t>
      </w:r>
      <w:r w:rsidR="006E0372" w:rsidRPr="00FD2A24">
        <w:t xml:space="preserve"> </w:t>
      </w:r>
      <w:r w:rsidR="00C409B5" w:rsidRPr="00FD2A24">
        <w:t>202</w:t>
      </w:r>
      <w:r w:rsidR="00AC1D3B" w:rsidRPr="00FD2A24">
        <w:t>4</w:t>
      </w:r>
      <w:r w:rsidR="00C409B5" w:rsidRPr="00FD2A24">
        <w:t xml:space="preserve"> </w:t>
      </w:r>
      <w:r w:rsidR="00FD7008" w:rsidRPr="00FD2A24">
        <w:t>года</w:t>
      </w:r>
      <w:r w:rsidR="000A2240" w:rsidRPr="00FD2A24">
        <w:t>.</w:t>
      </w:r>
    </w:p>
    <w:p w:rsidR="00D864A2" w:rsidRDefault="005551B3" w:rsidP="00EE7C4A">
      <w:pPr>
        <w:pStyle w:val="a4"/>
      </w:pPr>
      <w:r>
        <w:lastRenderedPageBreak/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E735E8" w:rsidRDefault="00E735E8" w:rsidP="00E735E8">
      <w:pPr>
        <w:pStyle w:val="a4"/>
      </w:pPr>
      <w:r>
        <w:t>Отчет об исполнении бюджета Грачевского муниципального округа за 9 месяцев 2024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края.</w:t>
      </w:r>
    </w:p>
    <w:p w:rsidR="00E735E8" w:rsidRDefault="00E735E8" w:rsidP="00E735E8">
      <w:pPr>
        <w:pStyle w:val="a4"/>
      </w:pPr>
      <w:r>
        <w:t xml:space="preserve">В соответствии с пунктом 5 статьи 264.2 Бюджетного кодекса РФ отчет об исполнении бюджета Грачевского муниципального округа за 9 месяцев 2024 года утвержден распоряжением администрации Грачевского муниципального округа от 25 октября 2024 года № 156-р. </w:t>
      </w:r>
    </w:p>
    <w:p w:rsidR="00E735E8" w:rsidRDefault="00E735E8" w:rsidP="00E735E8">
      <w:pPr>
        <w:pStyle w:val="a4"/>
      </w:pPr>
      <w:r>
        <w:t xml:space="preserve">Бюджет Грачевского муниципального округа за отчетный период 2024 года исполнен: </w:t>
      </w:r>
    </w:p>
    <w:p w:rsidR="00E735E8" w:rsidRDefault="00E735E8" w:rsidP="00E735E8">
      <w:pPr>
        <w:pStyle w:val="a"/>
      </w:pPr>
      <w:r>
        <w:t xml:space="preserve">по доходам – в объеме 1 235 228,90 тыс. рублей или 76,80% утвержденного бюджета (за аналогичный период 2023 года – 1 311 930,35 тыс. рублей или 62,71% утвержденного бюджета); </w:t>
      </w:r>
    </w:p>
    <w:p w:rsidR="00E735E8" w:rsidRDefault="00E735E8" w:rsidP="00E735E8">
      <w:pPr>
        <w:pStyle w:val="a"/>
      </w:pPr>
      <w:r>
        <w:t xml:space="preserve">по расходам – в объеме 1 154 427,10 рублей или 68,72% сводной бюджетной росписи (за аналогичный период 2023 года – 1 325 389,73 тыс. рублей или 73,99% сводной бюджетной росписи); </w:t>
      </w:r>
    </w:p>
    <w:p w:rsidR="00E735E8" w:rsidRDefault="00E735E8" w:rsidP="00E735E8">
      <w:pPr>
        <w:pStyle w:val="a"/>
      </w:pPr>
      <w:r>
        <w:t xml:space="preserve">с профицитом в размере 80 801,80 тыс. рублей при утвержденном годовом дефиците в размере 68 543,66 тыс. рублей (в аналогичном периоде 2023 года бюджет Грачевского муниципального округа был исполнен с дефицитом в размере 13 459,38 тыс. рублей, при утвержденном годовом дефиците в размере 63 372,75 тыс. рублей). </w:t>
      </w:r>
    </w:p>
    <w:p w:rsidR="00E735E8" w:rsidRDefault="00E735E8" w:rsidP="00E735E8">
      <w:pPr>
        <w:pStyle w:val="a4"/>
      </w:pPr>
      <w:proofErr w:type="gramStart"/>
      <w:r>
        <w:t>Поступление доходов в бюджет Грачевского муниципального округа уменьшилось по сравнению с аналогичным периодом 2023 года на 76 701,45 тыс. рублей или на 5,85% (за 9 месяцев 2023 года объем доходов бюджета Грачевского муниципального округа составил 1 311 930,35 тыс. рублей), при этом налоговые и неналоговые доходы выросли на 11,89%, безвозмездные поступления уменьшились на 9,35%).</w:t>
      </w:r>
      <w:proofErr w:type="gramEnd"/>
    </w:p>
    <w:p w:rsidR="00E735E8" w:rsidRDefault="00E735E8" w:rsidP="00E735E8">
      <w:pPr>
        <w:pStyle w:val="a4"/>
      </w:pPr>
      <w:r>
        <w:t>Поступление налоговых доходов в бюджет Грачевского муниципального округа в отчетном периоде по сравнению с тем же периодом 2023 года увеличилось на 4 884,68 тыс. рублей или на 2,73% и составило 184 039,42 тыс. рублей (налоговые доходы за 9 месяцев 2023 года составляли 179 154,74 тыс. рублей).</w:t>
      </w:r>
    </w:p>
    <w:p w:rsidR="00E735E8" w:rsidRDefault="00E735E8" w:rsidP="00E735E8">
      <w:pPr>
        <w:pStyle w:val="a4"/>
      </w:pPr>
      <w:r>
        <w:t>За 9 месяцев 2024 года по сравнению с аналогичным периодом 2023 года в бюджет Грачевского муниципального округа неналоговых доходов поступило на 20 868,04 тыс. рублей или на 55,78% больше (за 9 месяцев 2023 года поступление неналоговых доходов в бюджет Грачевского муниципального округа составило 37 412,17 тыс. рублей).</w:t>
      </w:r>
    </w:p>
    <w:p w:rsidR="00E735E8" w:rsidRDefault="00E735E8" w:rsidP="00E735E8">
      <w:pPr>
        <w:pStyle w:val="a4"/>
      </w:pPr>
      <w:proofErr w:type="gramStart"/>
      <w:r>
        <w:t>За 9 месяцев 2024 года объем безвозмездных поступлений в бюджет Грачевского муниципального округа без учета возврата средств в краевой бюджет составил 993 040,11 тыс. рублей или 74,27% к годовым плановым назначениям (1 337 048,938 тыс. рублей) (за 9 месяцев 2023 года – 1 095 763,35 рублей или 76,93% к годовым плановым назначениям (1 424 453,68 тыс. рублей)).</w:t>
      </w:r>
      <w:proofErr w:type="gramEnd"/>
    </w:p>
    <w:p w:rsidR="00E735E8" w:rsidRDefault="00E735E8" w:rsidP="00E735E8">
      <w:pPr>
        <w:pStyle w:val="a4"/>
      </w:pPr>
      <w:r>
        <w:lastRenderedPageBreak/>
        <w:t>За 9 месяцев 2024 года бюджет Грачевского муниципального округа по расходам исполнен в объеме 1 154 427,10 тыс. рублей или 68,72% сводной бюджетной росписи (1 679 844,15 тыс. рублей).</w:t>
      </w:r>
    </w:p>
    <w:p w:rsidR="00E735E8" w:rsidRDefault="00E735E8" w:rsidP="00E735E8">
      <w:pPr>
        <w:pStyle w:val="a4"/>
      </w:pPr>
      <w:r>
        <w:t>В аналогичном периоде 2023 года исполнение бюджета Грачевского муниципального округа по расходам составило 1 325 389,73 тыс. рублей или 73,99% сводной бюджетной росписи (1 791 290,59 тыс. рублей).</w:t>
      </w:r>
    </w:p>
    <w:p w:rsidR="00E735E8" w:rsidRDefault="00E735E8" w:rsidP="00E735E8">
      <w:pPr>
        <w:pStyle w:val="a4"/>
      </w:pPr>
      <w:r>
        <w:t>Уровень исполнения бюджета Грачевского муниципального округа по разделам классификации расходов бюджетов составил от 41,48% сводной бюджетной росписи по разделу «Жилищно-коммунальное хозяйство» до 77,31% по разделу «Социальная политика».</w:t>
      </w:r>
    </w:p>
    <w:p w:rsidR="00E735E8" w:rsidRDefault="00E735E8" w:rsidP="00E735E8">
      <w:pPr>
        <w:pStyle w:val="a4"/>
      </w:pPr>
      <w:r>
        <w:t>Наиболее низкий уровень исполнения отмечается по 5 разделам (ниже уровня среднего значения исполнения сводной бюджетной росписи на 01.10.2024 года (68,72%)): «Жилищно-коммунальное хозяйство» – исполнение составило 41,48%, «Общегосударственные вопросы» – 61,83%, «Национальная безопасность и правоохранительная деятельность» – 62,57%, «Культура, кинематография» – 63,23%, «Национальная оборона» – 65,35%.</w:t>
      </w:r>
    </w:p>
    <w:p w:rsidR="00E735E8" w:rsidRDefault="00E735E8" w:rsidP="00E735E8">
      <w:pPr>
        <w:pStyle w:val="a4"/>
      </w:pPr>
      <w:r>
        <w:t>Бюджет Грачевского муниципального округа сохраняет свою социальную направленность. Доля исполненных расходов на социальную сферу составляет 71,64% (827 041,25 тыс. рублей) от общей суммы исполненных расходов бюджета Грачевского муниципального округа (1 154 427,10 тыс. рублей). Относительно аналогичного периода 2023 года показатель увеличился на 1,12%.</w:t>
      </w:r>
    </w:p>
    <w:p w:rsidR="00E735E8" w:rsidRDefault="00E735E8" w:rsidP="00E735E8">
      <w:pPr>
        <w:pStyle w:val="a4"/>
      </w:pPr>
      <w:r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31,26% до 79,34%.</w:t>
      </w:r>
    </w:p>
    <w:p w:rsidR="00E735E8" w:rsidRDefault="00E735E8" w:rsidP="00E735E8">
      <w:pPr>
        <w:pStyle w:val="a4"/>
      </w:pPr>
      <w:r>
        <w:t>Объем расходов бюджета Грачевского муниципального округа, предусмотренных на реализацию 16 муниципальных программ Грачевского муниципального округа, составляет 1 505 556,53 тыс. рублей или 89,60% общего объема расходов бюджета Грачевского муниципального округа, утвержденного сводной бюджетной росписью (1 679 844,15 тыс. рублей).</w:t>
      </w:r>
    </w:p>
    <w:p w:rsidR="00E735E8" w:rsidRDefault="00E735E8" w:rsidP="00E735E8">
      <w:pPr>
        <w:pStyle w:val="a4"/>
      </w:pPr>
      <w:r>
        <w:t>По состоянию на 01.10.2024 исполнение мероприятий муниципальных программ составило 1 047 876,50 тыс. рублей или 69,60% от, утвержденных сводной бюджетной росписью, программных расходов.</w:t>
      </w:r>
    </w:p>
    <w:p w:rsidR="00E735E8" w:rsidRDefault="00E735E8" w:rsidP="00E735E8">
      <w:pPr>
        <w:pStyle w:val="a4"/>
      </w:pPr>
      <w:r>
        <w:t>За отчетный период исполнение расходов ниже уровня среднего значения сложилось по 12-ти муниципальным программам:</w:t>
      </w:r>
    </w:p>
    <w:p w:rsidR="00E735E8" w:rsidRDefault="00E735E8" w:rsidP="00E735E8">
      <w:pPr>
        <w:pStyle w:val="a4"/>
      </w:pPr>
      <w:r>
        <w:t xml:space="preserve">МП «Управление финансами Грачевского муниципального округа Ставропольского края» – 68,03%; </w:t>
      </w:r>
    </w:p>
    <w:p w:rsidR="00E735E8" w:rsidRDefault="00E735E8" w:rsidP="00E735E8">
      <w:pPr>
        <w:pStyle w:val="a4"/>
      </w:pPr>
      <w:r>
        <w:t xml:space="preserve"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– 65,33%; </w:t>
      </w:r>
    </w:p>
    <w:p w:rsidR="00E735E8" w:rsidRDefault="00E735E8" w:rsidP="00E735E8">
      <w:pPr>
        <w:pStyle w:val="a4"/>
      </w:pPr>
      <w:r>
        <w:t xml:space="preserve">МП «Культура Грачевского муниципального округа Ставропольского края» – 63,55%; </w:t>
      </w:r>
    </w:p>
    <w:p w:rsidR="00E735E8" w:rsidRDefault="00E735E8" w:rsidP="00E735E8">
      <w:pPr>
        <w:pStyle w:val="a4"/>
      </w:pPr>
      <w:r>
        <w:t xml:space="preserve">МП «Развитие экономики Грачевского муниципального округа Ставропольского края» – 62,59%; </w:t>
      </w:r>
    </w:p>
    <w:p w:rsidR="00E735E8" w:rsidRDefault="00E735E8" w:rsidP="00E735E8">
      <w:pPr>
        <w:pStyle w:val="a4"/>
      </w:pPr>
      <w:r>
        <w:t xml:space="preserve">МП «Благоустройство общественных территорий» – 60,17%; </w:t>
      </w:r>
    </w:p>
    <w:p w:rsidR="00E735E8" w:rsidRDefault="00E735E8" w:rsidP="00E735E8">
      <w:pPr>
        <w:pStyle w:val="a4"/>
      </w:pPr>
      <w:r>
        <w:lastRenderedPageBreak/>
        <w:t xml:space="preserve">МП «Создание условий для обеспечения доступным и комфортным жильем граждан Грачевского муниципального округа Ставропольского края» – 55,97%; </w:t>
      </w:r>
    </w:p>
    <w:p w:rsidR="00E735E8" w:rsidRDefault="00E735E8" w:rsidP="00E735E8">
      <w:pPr>
        <w:pStyle w:val="a4"/>
      </w:pPr>
      <w:r>
        <w:t xml:space="preserve">МП «Молодежь Грачевского муниципального округа Ставропольского края» – 51,84%; </w:t>
      </w:r>
    </w:p>
    <w:p w:rsidR="00E735E8" w:rsidRDefault="00E735E8" w:rsidP="00E735E8">
      <w:pPr>
        <w:pStyle w:val="a4"/>
      </w:pPr>
      <w:r>
        <w:t xml:space="preserve">МП «Развитие муниципальной службы и противодействие коррупции в Грачевском муниципальном округе» – 37,27%; </w:t>
      </w:r>
    </w:p>
    <w:p w:rsidR="00E735E8" w:rsidRDefault="00E735E8" w:rsidP="00E735E8">
      <w:pPr>
        <w:pStyle w:val="a4"/>
      </w:pPr>
      <w:r>
        <w:t xml:space="preserve">МП «Развитие сельского хозяйства Грачевского муниципального округа Ставропольского края» – 33,51%; </w:t>
      </w:r>
    </w:p>
    <w:p w:rsidR="00E735E8" w:rsidRDefault="00E735E8" w:rsidP="00E735E8">
      <w:pPr>
        <w:pStyle w:val="a4"/>
      </w:pPr>
      <w:r>
        <w:t xml:space="preserve">МП «Безопасный муниципальный округ» – 25,02%; </w:t>
      </w:r>
    </w:p>
    <w:p w:rsidR="00E735E8" w:rsidRDefault="00E735E8" w:rsidP="00E735E8">
      <w:pPr>
        <w:pStyle w:val="a4"/>
      </w:pPr>
      <w:r>
        <w:t xml:space="preserve">МП «Энергосбережение и повышение энергетической эффективности на территории Грачевского муниципального округа Ставропольского края» – 21,09%; </w:t>
      </w:r>
    </w:p>
    <w:p w:rsidR="00E735E8" w:rsidRDefault="00E735E8" w:rsidP="00E735E8">
      <w:pPr>
        <w:pStyle w:val="a4"/>
      </w:pPr>
      <w:r>
        <w:t>МП «Формирование современной городской среды на территории Грачевского муниципального округа Ставропольского края на 2018-2024 годы» – 0,74%.</w:t>
      </w:r>
    </w:p>
    <w:p w:rsidR="00E735E8" w:rsidRDefault="00E735E8" w:rsidP="00E735E8">
      <w:pPr>
        <w:pStyle w:val="a4"/>
      </w:pPr>
      <w:r>
        <w:t>Уточненным Решением о бюджете предусмотрены средства на мероприятия по 4-м региональным проектам, реализуемых в рамках 3 национальных проектов, в сумме 52 330,82 тыс. рублей или 3,12% общего объема расходов бюджета Грачевского муниципального округа.</w:t>
      </w:r>
    </w:p>
    <w:p w:rsidR="00E735E8" w:rsidRDefault="00E735E8" w:rsidP="00E735E8">
      <w:pPr>
        <w:pStyle w:val="a4"/>
      </w:pPr>
      <w:r>
        <w:t>Реализация региональных проектов осуществляется через муниципальные программы округа.</w:t>
      </w:r>
    </w:p>
    <w:p w:rsidR="00E735E8" w:rsidRDefault="00E735E8" w:rsidP="00E735E8">
      <w:pPr>
        <w:pStyle w:val="a4"/>
      </w:pPr>
      <w:r>
        <w:t>По состоянию на 01.10.2024 года исполнение бюджета округа в рамках реализации региональных проектов составило 14 762,87 тыс. рублей или 28,21% от общего объема, утвержденного сводной бюджетной росписью на эти цели.</w:t>
      </w:r>
    </w:p>
    <w:p w:rsidR="00E735E8" w:rsidRDefault="00E735E8" w:rsidP="00E735E8">
      <w:pPr>
        <w:pStyle w:val="a4"/>
      </w:pPr>
      <w:r>
        <w:t>Бюджет Грачевского муниципального округа за 9 месяцев 2024 года исполнен с профицитом в сумме 80 801,80 тыс. рублей, при утвержденном дефиците бюджета в размере 68 543,66 тыс. рублей.</w:t>
      </w:r>
    </w:p>
    <w:p w:rsidR="00E735E8" w:rsidRDefault="00E735E8" w:rsidP="00E735E8">
      <w:pPr>
        <w:pStyle w:val="a4"/>
      </w:pPr>
      <w:r>
        <w:t>По состоянию на 01.10.2024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прошлого года увеличилась на 30,47 человека и составила 1 802,6 человека.</w:t>
      </w:r>
    </w:p>
    <w:p w:rsidR="00E735E8" w:rsidRDefault="00E735E8" w:rsidP="00E735E8">
      <w:pPr>
        <w:pStyle w:val="a4"/>
      </w:pPr>
      <w:r>
        <w:t>Исполненный бюджет Грачевского муниципального округа за 9 месяцев 2024 года по доходам и расходам и источникам финансирования дефицита бюджета сбалансирован.</w:t>
      </w:r>
    </w:p>
    <w:p w:rsidR="00AD24B3" w:rsidRDefault="00E735E8" w:rsidP="00E735E8">
      <w:pPr>
        <w:pStyle w:val="a4"/>
      </w:pPr>
      <w:r>
        <w:t>Бюджет Грачевского муниципального округа за 9 месяцев 2024 года исполнен в соответствии с требованиями и нормами действующего бюджетного законодательства Российской Федерации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D76FD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4F7F7D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C1D3B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976B3"/>
    <w:rsid w:val="00DD29E1"/>
    <w:rsid w:val="00DE37D4"/>
    <w:rsid w:val="00E345E5"/>
    <w:rsid w:val="00E71624"/>
    <w:rsid w:val="00E735E8"/>
    <w:rsid w:val="00E73A1A"/>
    <w:rsid w:val="00EB188A"/>
    <w:rsid w:val="00EE7C4A"/>
    <w:rsid w:val="00F30229"/>
    <w:rsid w:val="00F320FE"/>
    <w:rsid w:val="00F54CF1"/>
    <w:rsid w:val="00F66566"/>
    <w:rsid w:val="00F6771F"/>
    <w:rsid w:val="00F74F61"/>
    <w:rsid w:val="00F96D9B"/>
    <w:rsid w:val="00FD2A24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291790"/>
    <w:rsid w:val="003D2C84"/>
    <w:rsid w:val="004C13F9"/>
    <w:rsid w:val="00507694"/>
    <w:rsid w:val="005C27FB"/>
    <w:rsid w:val="007D3E90"/>
    <w:rsid w:val="00A5647D"/>
    <w:rsid w:val="00AF3465"/>
    <w:rsid w:val="00CD5012"/>
    <w:rsid w:val="00D92870"/>
    <w:rsid w:val="00E720DA"/>
    <w:rsid w:val="00FC729B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38</cp:revision>
  <cp:lastPrinted>2019-08-27T08:13:00Z</cp:lastPrinted>
  <dcterms:created xsi:type="dcterms:W3CDTF">2018-12-24T12:06:00Z</dcterms:created>
  <dcterms:modified xsi:type="dcterms:W3CDTF">2024-11-06T07:04:00Z</dcterms:modified>
</cp:coreProperties>
</file>