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7DD" w:rsidRDefault="00BA27DD" w:rsidP="00BA27DD">
      <w:pPr>
        <w:pStyle w:val="2"/>
        <w:ind w:left="284" w:right="-284"/>
      </w:pPr>
      <w:r>
        <w:t>отчет</w:t>
      </w:r>
    </w:p>
    <w:p w:rsidR="00BA27DD" w:rsidRDefault="00BA27DD" w:rsidP="00BA27DD">
      <w:pPr>
        <w:pStyle w:val="2"/>
        <w:spacing w:after="480"/>
        <w:ind w:left="284" w:right="-1"/>
      </w:pPr>
      <w:r>
        <w:t xml:space="preserve">о результатах экспертно-аналитического мероприятия «экпертиза </w:t>
      </w:r>
      <w:r w:rsidRPr="00900C14">
        <w:t>проект</w:t>
      </w:r>
      <w:r>
        <w:t>а</w:t>
      </w:r>
      <w:r w:rsidRPr="00900C14">
        <w:t xml:space="preserve"> решения Совета Грачевского муниципального округа Ставропольского края  «</w:t>
      </w:r>
      <w:r w:rsidR="00E74722" w:rsidRPr="00E74722">
        <w:t>Об установлении доли дотации на выравнивание бюджетной обеспеченности, подлежащей замене на дополнительный норматив отчислений от налога на доходы физических лиц</w:t>
      </w:r>
      <w:r w:rsidRPr="00900C14">
        <w:t>»</w:t>
      </w:r>
      <w:r w:rsidRPr="003E6818">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216"/>
        <w:gridCol w:w="3398"/>
      </w:tblGrid>
      <w:tr w:rsidR="00BA27DD" w:rsidRPr="00ED0F1B" w:rsidTr="00401146">
        <w:trPr>
          <w:trHeight w:val="256"/>
        </w:trPr>
        <w:tc>
          <w:tcPr>
            <w:tcW w:w="3240" w:type="dxa"/>
          </w:tcPr>
          <w:p w:rsidR="00BA27DD" w:rsidRPr="00ED0F1B" w:rsidRDefault="00BA27DD" w:rsidP="00401146">
            <w:pPr>
              <w:overflowPunct w:val="0"/>
              <w:jc w:val="both"/>
              <w:textAlignment w:val="baseline"/>
              <w:rPr>
                <w:rFonts w:ascii="Times New Roman" w:hAnsi="Times New Roman"/>
                <w:sz w:val="28"/>
              </w:rPr>
            </w:pPr>
            <w:proofErr w:type="gramStart"/>
            <w:r w:rsidRPr="00ED0F1B">
              <w:rPr>
                <w:rFonts w:ascii="Times New Roman" w:hAnsi="Times New Roman"/>
                <w:sz w:val="28"/>
              </w:rPr>
              <w:t>с</w:t>
            </w:r>
            <w:proofErr w:type="gramEnd"/>
            <w:r w:rsidRPr="00ED0F1B">
              <w:rPr>
                <w:rFonts w:ascii="Times New Roman" w:hAnsi="Times New Roman"/>
                <w:sz w:val="28"/>
              </w:rPr>
              <w:t>. Грачевка</w:t>
            </w:r>
          </w:p>
        </w:tc>
        <w:tc>
          <w:tcPr>
            <w:tcW w:w="3216" w:type="dxa"/>
          </w:tcPr>
          <w:p w:rsidR="00BA27DD" w:rsidRPr="00ED0F1B" w:rsidRDefault="00BA27DD" w:rsidP="00401146">
            <w:pPr>
              <w:overflowPunct w:val="0"/>
              <w:jc w:val="both"/>
              <w:textAlignment w:val="baseline"/>
              <w:rPr>
                <w:rFonts w:ascii="Times New Roman" w:hAnsi="Times New Roman"/>
                <w:sz w:val="28"/>
              </w:rPr>
            </w:pPr>
          </w:p>
        </w:tc>
        <w:tc>
          <w:tcPr>
            <w:tcW w:w="3398" w:type="dxa"/>
          </w:tcPr>
          <w:p w:rsidR="00BA27DD" w:rsidRPr="00ED0F1B" w:rsidRDefault="000B248C" w:rsidP="000B248C">
            <w:pPr>
              <w:overflowPunct w:val="0"/>
              <w:jc w:val="right"/>
              <w:textAlignment w:val="baseline"/>
              <w:rPr>
                <w:rFonts w:ascii="Times New Roman" w:hAnsi="Times New Roman"/>
                <w:sz w:val="28"/>
              </w:rPr>
            </w:pPr>
            <w:r>
              <w:rPr>
                <w:rFonts w:ascii="Times New Roman" w:hAnsi="Times New Roman"/>
                <w:sz w:val="28"/>
                <w:lang w:val="en-US"/>
              </w:rPr>
              <w:t>10</w:t>
            </w:r>
            <w:r w:rsidR="00BA27DD">
              <w:rPr>
                <w:rFonts w:ascii="Times New Roman" w:hAnsi="Times New Roman"/>
                <w:sz w:val="28"/>
              </w:rPr>
              <w:t xml:space="preserve"> ноября </w:t>
            </w:r>
            <w:r w:rsidR="00BA27DD" w:rsidRPr="00ED0F1B">
              <w:rPr>
                <w:rFonts w:ascii="Times New Roman" w:hAnsi="Times New Roman"/>
                <w:sz w:val="28"/>
              </w:rPr>
              <w:t>20</w:t>
            </w:r>
            <w:r w:rsidR="00BA27DD">
              <w:rPr>
                <w:rFonts w:ascii="Times New Roman" w:hAnsi="Times New Roman"/>
                <w:sz w:val="28"/>
              </w:rPr>
              <w:t>2</w:t>
            </w:r>
            <w:r>
              <w:rPr>
                <w:rFonts w:ascii="Times New Roman" w:hAnsi="Times New Roman"/>
                <w:sz w:val="28"/>
                <w:lang w:val="en-US"/>
              </w:rPr>
              <w:t>4</w:t>
            </w:r>
            <w:r w:rsidR="00BA27DD">
              <w:rPr>
                <w:rFonts w:ascii="Times New Roman" w:hAnsi="Times New Roman"/>
                <w:sz w:val="28"/>
              </w:rPr>
              <w:t xml:space="preserve"> </w:t>
            </w:r>
            <w:r w:rsidR="00BA27DD" w:rsidRPr="00ED0F1B">
              <w:rPr>
                <w:rFonts w:ascii="Times New Roman" w:hAnsi="Times New Roman"/>
                <w:sz w:val="28"/>
              </w:rPr>
              <w:t>года</w:t>
            </w:r>
          </w:p>
        </w:tc>
      </w:tr>
    </w:tbl>
    <w:p w:rsidR="00BA27DD" w:rsidRDefault="00BA27DD" w:rsidP="00BA27DD">
      <w:pPr>
        <w:spacing w:before="280" w:after="0" w:line="240" w:lineRule="auto"/>
        <w:ind w:right="-1" w:firstLine="708"/>
        <w:jc w:val="both"/>
        <w:rPr>
          <w:rFonts w:ascii="Times New Roman" w:hAnsi="Times New Roman" w:cs="Times New Roman"/>
          <w:sz w:val="28"/>
          <w:szCs w:val="28"/>
        </w:rPr>
      </w:pPr>
      <w:r w:rsidRPr="002943B6">
        <w:rPr>
          <w:rFonts w:ascii="Times New Roman" w:hAnsi="Times New Roman" w:cs="Times New Roman"/>
          <w:sz w:val="28"/>
          <w:szCs w:val="28"/>
        </w:rPr>
        <w:t>Основание для проведения экспертно-аналитического мероприятия</w:t>
      </w:r>
      <w:r>
        <w:rPr>
          <w:rFonts w:ascii="Times New Roman" w:hAnsi="Times New Roman" w:cs="Times New Roman"/>
          <w:sz w:val="28"/>
          <w:szCs w:val="28"/>
        </w:rPr>
        <w:t xml:space="preserve">: </w:t>
      </w:r>
      <w:r w:rsidRPr="0074688C">
        <w:rPr>
          <w:rFonts w:ascii="Times New Roman" w:hAnsi="Times New Roman" w:cs="Times New Roman"/>
          <w:sz w:val="28"/>
          <w:szCs w:val="28"/>
        </w:rPr>
        <w:t>ст. 8 Положения о Контрольно-счетной комиссии Грачевского муниципального округа Ставропольского края, утвержденного решением Совета Грачевского муниципального округа Ставропольского края от 07.12.2020 № 64</w:t>
      </w:r>
      <w:r>
        <w:rPr>
          <w:rFonts w:ascii="Times New Roman" w:hAnsi="Times New Roman" w:cs="Times New Roman"/>
          <w:sz w:val="28"/>
          <w:szCs w:val="28"/>
        </w:rPr>
        <w:t xml:space="preserve">, </w:t>
      </w:r>
      <w:r w:rsidRPr="00BA27DD">
        <w:rPr>
          <w:rFonts w:ascii="Times New Roman" w:hAnsi="Times New Roman" w:cs="Times New Roman"/>
          <w:sz w:val="28"/>
          <w:szCs w:val="28"/>
        </w:rPr>
        <w:t>распоряжени</w:t>
      </w:r>
      <w:r>
        <w:rPr>
          <w:rFonts w:ascii="Times New Roman" w:hAnsi="Times New Roman" w:cs="Times New Roman"/>
          <w:sz w:val="28"/>
          <w:szCs w:val="28"/>
        </w:rPr>
        <w:t>е</w:t>
      </w:r>
      <w:r w:rsidRPr="00BA27DD">
        <w:rPr>
          <w:rFonts w:ascii="Times New Roman" w:hAnsi="Times New Roman" w:cs="Times New Roman"/>
          <w:sz w:val="28"/>
          <w:szCs w:val="28"/>
        </w:rPr>
        <w:t xml:space="preserve"> Совета Грачевского муниципального округа Ставропольского края </w:t>
      </w:r>
      <w:r w:rsidR="00E74722" w:rsidRPr="00E74722">
        <w:rPr>
          <w:rFonts w:ascii="Times New Roman" w:hAnsi="Times New Roman" w:cs="Times New Roman"/>
          <w:sz w:val="28"/>
          <w:szCs w:val="28"/>
        </w:rPr>
        <w:t xml:space="preserve">от </w:t>
      </w:r>
      <w:r w:rsidR="000B248C" w:rsidRPr="000B248C">
        <w:rPr>
          <w:rFonts w:ascii="Times New Roman" w:hAnsi="Times New Roman" w:cs="Times New Roman"/>
          <w:sz w:val="28"/>
          <w:szCs w:val="28"/>
        </w:rPr>
        <w:t>07</w:t>
      </w:r>
      <w:r w:rsidR="00E74722" w:rsidRPr="00E74722">
        <w:rPr>
          <w:rFonts w:ascii="Times New Roman" w:hAnsi="Times New Roman" w:cs="Times New Roman"/>
          <w:sz w:val="28"/>
          <w:szCs w:val="28"/>
        </w:rPr>
        <w:t>.10.202</w:t>
      </w:r>
      <w:r w:rsidR="000B248C" w:rsidRPr="000B248C">
        <w:rPr>
          <w:rFonts w:ascii="Times New Roman" w:hAnsi="Times New Roman" w:cs="Times New Roman"/>
          <w:sz w:val="28"/>
          <w:szCs w:val="28"/>
        </w:rPr>
        <w:t>4</w:t>
      </w:r>
      <w:r w:rsidR="00E74722" w:rsidRPr="00E74722">
        <w:rPr>
          <w:rFonts w:ascii="Times New Roman" w:hAnsi="Times New Roman" w:cs="Times New Roman"/>
          <w:sz w:val="28"/>
          <w:szCs w:val="28"/>
        </w:rPr>
        <w:t xml:space="preserve"> № </w:t>
      </w:r>
      <w:r w:rsidR="000B248C" w:rsidRPr="000B248C">
        <w:rPr>
          <w:rFonts w:ascii="Times New Roman" w:hAnsi="Times New Roman" w:cs="Times New Roman"/>
          <w:sz w:val="28"/>
          <w:szCs w:val="28"/>
        </w:rPr>
        <w:t>31</w:t>
      </w:r>
      <w:r w:rsidR="00E74722" w:rsidRPr="00E74722">
        <w:rPr>
          <w:rFonts w:ascii="Times New Roman" w:hAnsi="Times New Roman" w:cs="Times New Roman"/>
          <w:sz w:val="28"/>
          <w:szCs w:val="28"/>
        </w:rPr>
        <w:t>-</w:t>
      </w:r>
      <w:r w:rsidR="00E74722">
        <w:rPr>
          <w:rFonts w:ascii="Times New Roman" w:hAnsi="Times New Roman" w:cs="Times New Roman"/>
          <w:sz w:val="28"/>
          <w:szCs w:val="28"/>
        </w:rPr>
        <w:t>р</w:t>
      </w:r>
      <w:r>
        <w:rPr>
          <w:rFonts w:ascii="Times New Roman" w:hAnsi="Times New Roman" w:cs="Times New Roman"/>
          <w:sz w:val="28"/>
          <w:szCs w:val="28"/>
        </w:rPr>
        <w:t>.</w:t>
      </w:r>
    </w:p>
    <w:p w:rsidR="00BA27DD" w:rsidRPr="00ED0F1B" w:rsidRDefault="00BA27DD" w:rsidP="00BA27DD">
      <w:pPr>
        <w:spacing w:after="0" w:line="240" w:lineRule="auto"/>
        <w:ind w:right="-1" w:firstLine="708"/>
        <w:jc w:val="both"/>
        <w:rPr>
          <w:rFonts w:ascii="Times New Roman" w:hAnsi="Times New Roman" w:cs="Times New Roman"/>
          <w:sz w:val="28"/>
          <w:szCs w:val="28"/>
        </w:rPr>
      </w:pPr>
      <w:r w:rsidRPr="00ED0F1B">
        <w:rPr>
          <w:rFonts w:ascii="Times New Roman" w:hAnsi="Times New Roman" w:cs="Times New Roman"/>
          <w:sz w:val="28"/>
          <w:szCs w:val="28"/>
        </w:rPr>
        <w:t>Цели экспертно-аналитического мероприятия:</w:t>
      </w:r>
    </w:p>
    <w:p w:rsidR="00BA27DD" w:rsidRPr="000A2240" w:rsidRDefault="00BA27DD" w:rsidP="00BA27DD">
      <w:pPr>
        <w:spacing w:after="0" w:line="240" w:lineRule="auto"/>
        <w:ind w:firstLine="709"/>
        <w:jc w:val="both"/>
        <w:rPr>
          <w:rFonts w:ascii="Times New Roman" w:eastAsia="Times New Roman" w:hAnsi="Times New Roman" w:cs="Times New Roman"/>
          <w:sz w:val="28"/>
          <w:szCs w:val="28"/>
        </w:rPr>
      </w:pPr>
      <w:r w:rsidRPr="00900C14">
        <w:rPr>
          <w:rFonts w:ascii="Times New Roman" w:eastAsia="Times New Roman" w:hAnsi="Times New Roman" w:cs="Times New Roman"/>
          <w:sz w:val="28"/>
          <w:szCs w:val="28"/>
        </w:rPr>
        <w:t xml:space="preserve">- проведение экспертизы проекта решения на предмет соответствия требованиям </w:t>
      </w:r>
      <w:r>
        <w:rPr>
          <w:rFonts w:ascii="Times New Roman" w:eastAsia="Times New Roman" w:hAnsi="Times New Roman" w:cs="Times New Roman"/>
          <w:sz w:val="28"/>
          <w:szCs w:val="28"/>
        </w:rPr>
        <w:t xml:space="preserve">Бюджетного кодекса </w:t>
      </w:r>
      <w:r w:rsidRPr="00900C14">
        <w:rPr>
          <w:rFonts w:ascii="Times New Roman" w:eastAsia="Times New Roman" w:hAnsi="Times New Roman" w:cs="Times New Roman"/>
          <w:sz w:val="28"/>
          <w:szCs w:val="28"/>
        </w:rPr>
        <w:t>Российской Федерации, Федерального закона от 06.10.2003 № 131-ФЗ «Об общих принципах организации местного самоуправления в Российской Федерации</w:t>
      </w:r>
      <w:r w:rsidRPr="000A2240">
        <w:rPr>
          <w:rFonts w:ascii="Times New Roman" w:eastAsia="Times New Roman" w:hAnsi="Times New Roman" w:cs="Times New Roman"/>
          <w:sz w:val="28"/>
          <w:szCs w:val="28"/>
        </w:rPr>
        <w:t>.</w:t>
      </w:r>
    </w:p>
    <w:p w:rsidR="00BA27DD" w:rsidRPr="00ED0F1B" w:rsidRDefault="00BA27DD" w:rsidP="00BA27DD">
      <w:pPr>
        <w:spacing w:after="0" w:line="240" w:lineRule="auto"/>
        <w:ind w:right="-1" w:firstLine="708"/>
        <w:jc w:val="both"/>
        <w:rPr>
          <w:rFonts w:ascii="Times New Roman" w:hAnsi="Times New Roman" w:cs="Times New Roman"/>
          <w:sz w:val="28"/>
          <w:szCs w:val="28"/>
        </w:rPr>
      </w:pPr>
      <w:r w:rsidRPr="00ED0F1B">
        <w:rPr>
          <w:rFonts w:ascii="Times New Roman" w:hAnsi="Times New Roman" w:cs="Times New Roman"/>
          <w:sz w:val="28"/>
          <w:szCs w:val="28"/>
        </w:rPr>
        <w:t xml:space="preserve">Предмет экспертно-аналитического мероприятия: </w:t>
      </w:r>
      <w:r w:rsidRPr="00900C14">
        <w:rPr>
          <w:rFonts w:ascii="Times New Roman" w:hAnsi="Times New Roman" w:cs="Times New Roman"/>
          <w:sz w:val="28"/>
          <w:szCs w:val="28"/>
        </w:rPr>
        <w:t xml:space="preserve">проект решения Совета Грачевского муниципального округа Ставропольского края </w:t>
      </w:r>
      <w:r>
        <w:rPr>
          <w:rFonts w:ascii="Times New Roman" w:hAnsi="Times New Roman" w:cs="Times New Roman"/>
          <w:sz w:val="28"/>
          <w:szCs w:val="28"/>
        </w:rPr>
        <w:t>«</w:t>
      </w:r>
      <w:r w:rsidR="00E74722" w:rsidRPr="00E74722">
        <w:rPr>
          <w:rFonts w:ascii="Times New Roman" w:hAnsi="Times New Roman" w:cs="Times New Roman"/>
          <w:sz w:val="28"/>
          <w:szCs w:val="28"/>
        </w:rPr>
        <w:t>Об установлении доли дотации на выравнивание бюджетной обеспеченности, подлежащей замене на дополнительный норматив отчислений от налога на доходы физических лиц</w:t>
      </w:r>
      <w:r>
        <w:rPr>
          <w:rFonts w:ascii="Times New Roman" w:hAnsi="Times New Roman" w:cs="Times New Roman"/>
          <w:sz w:val="28"/>
          <w:szCs w:val="28"/>
        </w:rPr>
        <w:t>»</w:t>
      </w:r>
      <w:r w:rsidRPr="000A2240">
        <w:rPr>
          <w:rFonts w:ascii="Times New Roman" w:hAnsi="Times New Roman" w:cs="Times New Roman"/>
          <w:sz w:val="28"/>
          <w:szCs w:val="28"/>
        </w:rPr>
        <w:t>.</w:t>
      </w:r>
    </w:p>
    <w:p w:rsidR="00BA27DD" w:rsidRPr="00ED0F1B" w:rsidRDefault="00BA27DD" w:rsidP="00BA27DD">
      <w:pPr>
        <w:spacing w:after="0" w:line="240" w:lineRule="auto"/>
        <w:ind w:right="-1" w:firstLine="708"/>
        <w:jc w:val="both"/>
        <w:rPr>
          <w:rFonts w:ascii="Times New Roman" w:hAnsi="Times New Roman" w:cs="Times New Roman"/>
          <w:sz w:val="28"/>
          <w:szCs w:val="28"/>
        </w:rPr>
      </w:pPr>
      <w:r w:rsidRPr="00ED0F1B">
        <w:rPr>
          <w:rFonts w:ascii="Times New Roman" w:hAnsi="Times New Roman" w:cs="Times New Roman"/>
          <w:sz w:val="28"/>
          <w:szCs w:val="28"/>
        </w:rPr>
        <w:t xml:space="preserve">Объект экспертно-аналитического мероприятия: </w:t>
      </w:r>
      <w:r w:rsidRPr="00900C14">
        <w:rPr>
          <w:rFonts w:ascii="Times New Roman" w:hAnsi="Times New Roman" w:cs="Times New Roman"/>
          <w:sz w:val="28"/>
          <w:szCs w:val="28"/>
        </w:rPr>
        <w:t xml:space="preserve">администрация Грачевского муниципального </w:t>
      </w:r>
      <w:r>
        <w:rPr>
          <w:rFonts w:ascii="Times New Roman" w:hAnsi="Times New Roman" w:cs="Times New Roman"/>
          <w:sz w:val="28"/>
          <w:szCs w:val="28"/>
        </w:rPr>
        <w:t>округа</w:t>
      </w:r>
      <w:r w:rsidRPr="00900C14">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финансовое</w:t>
      </w:r>
      <w:r w:rsidRPr="00900C14">
        <w:rPr>
          <w:rFonts w:ascii="Times New Roman" w:hAnsi="Times New Roman" w:cs="Times New Roman"/>
          <w:sz w:val="28"/>
          <w:szCs w:val="28"/>
        </w:rPr>
        <w:t xml:space="preserve"> </w:t>
      </w:r>
      <w:r>
        <w:rPr>
          <w:rFonts w:ascii="Times New Roman" w:hAnsi="Times New Roman" w:cs="Times New Roman"/>
          <w:sz w:val="28"/>
          <w:szCs w:val="28"/>
        </w:rPr>
        <w:t xml:space="preserve">управление </w:t>
      </w:r>
      <w:r w:rsidRPr="00DE36CB">
        <w:rPr>
          <w:rFonts w:ascii="Times New Roman" w:hAnsi="Times New Roman" w:cs="Times New Roman"/>
          <w:sz w:val="28"/>
          <w:szCs w:val="28"/>
        </w:rPr>
        <w:t>администрации Грачевского муниципального округа Ставропольского края</w:t>
      </w:r>
      <w:r>
        <w:rPr>
          <w:rFonts w:ascii="Times New Roman" w:hAnsi="Times New Roman" w:cs="Times New Roman"/>
          <w:sz w:val="28"/>
          <w:szCs w:val="28"/>
        </w:rPr>
        <w:t>.</w:t>
      </w:r>
    </w:p>
    <w:p w:rsidR="00BA27DD" w:rsidRDefault="00BA27DD" w:rsidP="00BA27DD">
      <w:pPr>
        <w:spacing w:after="0" w:line="240" w:lineRule="auto"/>
        <w:ind w:right="-1" w:firstLine="708"/>
        <w:jc w:val="both"/>
        <w:rPr>
          <w:rFonts w:ascii="Times New Roman" w:hAnsi="Times New Roman" w:cs="Times New Roman"/>
          <w:sz w:val="28"/>
          <w:szCs w:val="28"/>
        </w:rPr>
      </w:pPr>
      <w:r w:rsidRPr="00ED0F1B">
        <w:rPr>
          <w:rFonts w:ascii="Times New Roman" w:hAnsi="Times New Roman" w:cs="Times New Roman"/>
          <w:sz w:val="28"/>
          <w:szCs w:val="28"/>
        </w:rPr>
        <w:t xml:space="preserve">Проверяемый  период: </w:t>
      </w:r>
      <w:r w:rsidRPr="0074688C">
        <w:rPr>
          <w:rFonts w:ascii="Times New Roman" w:hAnsi="Times New Roman" w:cs="Times New Roman"/>
          <w:sz w:val="28"/>
          <w:szCs w:val="28"/>
        </w:rPr>
        <w:t>202</w:t>
      </w:r>
      <w:r w:rsidR="000B248C" w:rsidRPr="000B248C">
        <w:rPr>
          <w:rFonts w:ascii="Times New Roman" w:hAnsi="Times New Roman" w:cs="Times New Roman"/>
          <w:sz w:val="28"/>
          <w:szCs w:val="28"/>
        </w:rPr>
        <w:t>4</w:t>
      </w:r>
      <w:r w:rsidRPr="0074688C">
        <w:rPr>
          <w:rFonts w:ascii="Times New Roman" w:hAnsi="Times New Roman" w:cs="Times New Roman"/>
          <w:sz w:val="28"/>
          <w:szCs w:val="28"/>
        </w:rPr>
        <w:t xml:space="preserve"> года</w:t>
      </w:r>
      <w:r w:rsidRPr="000A2240">
        <w:rPr>
          <w:rFonts w:ascii="Times New Roman" w:hAnsi="Times New Roman" w:cs="Times New Roman"/>
          <w:sz w:val="28"/>
          <w:szCs w:val="28"/>
        </w:rPr>
        <w:t>.</w:t>
      </w:r>
    </w:p>
    <w:p w:rsidR="00BA27DD" w:rsidRDefault="00BA27DD" w:rsidP="00BA27DD">
      <w:pPr>
        <w:spacing w:after="0" w:line="240" w:lineRule="auto"/>
        <w:ind w:right="-1" w:firstLine="708"/>
        <w:jc w:val="both"/>
        <w:rPr>
          <w:sz w:val="28"/>
          <w:szCs w:val="28"/>
        </w:rPr>
      </w:pPr>
      <w:r w:rsidRPr="00ED0F1B">
        <w:rPr>
          <w:rFonts w:ascii="Times New Roman" w:hAnsi="Times New Roman" w:cs="Times New Roman"/>
          <w:sz w:val="28"/>
          <w:szCs w:val="28"/>
        </w:rPr>
        <w:t xml:space="preserve">Срок  проведения экспертно-аналитического мероприятия: </w:t>
      </w:r>
      <w:r>
        <w:rPr>
          <w:rFonts w:ascii="Times New Roman" w:hAnsi="Times New Roman" w:cs="Times New Roman"/>
          <w:sz w:val="28"/>
          <w:szCs w:val="28"/>
        </w:rPr>
        <w:t xml:space="preserve">с </w:t>
      </w:r>
      <w:r w:rsidR="000B248C" w:rsidRPr="000B248C">
        <w:rPr>
          <w:rFonts w:ascii="Times New Roman" w:hAnsi="Times New Roman" w:cs="Times New Roman"/>
          <w:sz w:val="28"/>
          <w:szCs w:val="28"/>
        </w:rPr>
        <w:t>7</w:t>
      </w:r>
      <w:r w:rsidR="003D32B5">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0B248C" w:rsidRPr="000B248C">
        <w:rPr>
          <w:rFonts w:ascii="Times New Roman" w:hAnsi="Times New Roman" w:cs="Times New Roman"/>
          <w:sz w:val="28"/>
          <w:szCs w:val="28"/>
        </w:rPr>
        <w:t>10</w:t>
      </w:r>
      <w:r>
        <w:rPr>
          <w:rFonts w:ascii="Times New Roman" w:hAnsi="Times New Roman" w:cs="Times New Roman"/>
          <w:sz w:val="28"/>
          <w:szCs w:val="28"/>
        </w:rPr>
        <w:t> </w:t>
      </w:r>
      <w:r w:rsidR="000B248C">
        <w:rPr>
          <w:rFonts w:ascii="Times New Roman" w:hAnsi="Times New Roman" w:cs="Times New Roman"/>
          <w:sz w:val="28"/>
          <w:szCs w:val="28"/>
        </w:rPr>
        <w:t xml:space="preserve">октября </w:t>
      </w:r>
      <w:r w:rsidRPr="00FD7008">
        <w:rPr>
          <w:rFonts w:ascii="Times New Roman" w:hAnsi="Times New Roman" w:cs="Times New Roman"/>
          <w:sz w:val="28"/>
          <w:szCs w:val="28"/>
        </w:rPr>
        <w:t>202</w:t>
      </w:r>
      <w:r w:rsidR="000B248C" w:rsidRPr="000B248C">
        <w:rPr>
          <w:rFonts w:ascii="Times New Roman" w:hAnsi="Times New Roman" w:cs="Times New Roman"/>
          <w:sz w:val="28"/>
          <w:szCs w:val="28"/>
        </w:rPr>
        <w:t>4</w:t>
      </w:r>
      <w:r w:rsidRPr="00FD7008">
        <w:rPr>
          <w:rFonts w:ascii="Times New Roman" w:hAnsi="Times New Roman" w:cs="Times New Roman"/>
          <w:sz w:val="28"/>
          <w:szCs w:val="28"/>
        </w:rPr>
        <w:t xml:space="preserve"> года</w:t>
      </w:r>
      <w:r w:rsidRPr="000A2240">
        <w:rPr>
          <w:rFonts w:ascii="Times New Roman" w:hAnsi="Times New Roman" w:cs="Times New Roman"/>
          <w:sz w:val="28"/>
          <w:szCs w:val="28"/>
        </w:rPr>
        <w:t>.</w:t>
      </w:r>
    </w:p>
    <w:p w:rsidR="00BA27DD" w:rsidRPr="00900C14" w:rsidRDefault="00BA27DD" w:rsidP="00BA27DD">
      <w:pPr>
        <w:widowControl w:val="0"/>
        <w:tabs>
          <w:tab w:val="left" w:pos="-4111"/>
        </w:tabs>
        <w:spacing w:before="300" w:after="0" w:line="240" w:lineRule="auto"/>
        <w:ind w:firstLine="709"/>
        <w:jc w:val="both"/>
        <w:rPr>
          <w:rFonts w:ascii="Times New Roman" w:eastAsia="Times New Roman" w:hAnsi="Times New Roman" w:cs="Times New Roman"/>
          <w:sz w:val="28"/>
          <w:szCs w:val="28"/>
        </w:rPr>
      </w:pPr>
      <w:r w:rsidRPr="00900C14">
        <w:rPr>
          <w:rFonts w:ascii="Times New Roman" w:eastAsia="Times New Roman" w:hAnsi="Times New Roman" w:cs="Times New Roman"/>
          <w:sz w:val="28"/>
          <w:szCs w:val="28"/>
        </w:rPr>
        <w:t>По результатам экспертно-аналитического мероприятия установлено следующее:</w:t>
      </w:r>
    </w:p>
    <w:p w:rsidR="00E74722" w:rsidRPr="00E74722" w:rsidRDefault="00E74722" w:rsidP="00E7472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74722">
        <w:rPr>
          <w:rFonts w:ascii="Times New Roman" w:eastAsia="Times New Roman" w:hAnsi="Times New Roman" w:cs="Times New Roman"/>
          <w:sz w:val="28"/>
          <w:szCs w:val="28"/>
          <w:lang w:eastAsia="ar-SA"/>
        </w:rPr>
        <w:t xml:space="preserve">Проект решения представлен </w:t>
      </w:r>
      <w:r w:rsidRPr="00E74722">
        <w:rPr>
          <w:rFonts w:ascii="Times New Roman" w:eastAsia="Times New Roman" w:hAnsi="Times New Roman" w:cs="Times New Roman"/>
          <w:iCs/>
          <w:sz w:val="28"/>
          <w:szCs w:val="28"/>
          <w:lang w:eastAsia="ar-SA"/>
        </w:rPr>
        <w:t>Советом Грачевского муниципального округа Ставропольского края (далее по тексту – Совет Грачевского муниципального округа)</w:t>
      </w:r>
      <w:r w:rsidRPr="00E74722">
        <w:rPr>
          <w:rFonts w:ascii="Times New Roman" w:eastAsia="Times New Roman" w:hAnsi="Times New Roman" w:cs="Times New Roman"/>
          <w:sz w:val="28"/>
          <w:szCs w:val="28"/>
          <w:lang w:eastAsia="ar-SA"/>
        </w:rPr>
        <w:t xml:space="preserve"> </w:t>
      </w:r>
      <w:r w:rsidRPr="00E74722">
        <w:rPr>
          <w:rFonts w:ascii="Times New Roman" w:eastAsia="Times New Roman" w:hAnsi="Times New Roman" w:cs="Times New Roman"/>
          <w:iCs/>
          <w:sz w:val="28"/>
          <w:szCs w:val="28"/>
          <w:lang w:eastAsia="ar-SA"/>
        </w:rPr>
        <w:t xml:space="preserve">для проведения экспертизы </w:t>
      </w:r>
      <w:r w:rsidR="000B248C" w:rsidRPr="000B248C">
        <w:rPr>
          <w:rFonts w:ascii="Times New Roman" w:eastAsia="Times New Roman" w:hAnsi="Times New Roman" w:cs="Times New Roman"/>
          <w:iCs/>
          <w:sz w:val="28"/>
          <w:szCs w:val="28"/>
          <w:lang w:eastAsia="ar-SA"/>
        </w:rPr>
        <w:t>7</w:t>
      </w:r>
      <w:r w:rsidRPr="00E74722">
        <w:rPr>
          <w:rFonts w:ascii="Times New Roman" w:eastAsia="Times New Roman" w:hAnsi="Times New Roman" w:cs="Times New Roman"/>
          <w:iCs/>
          <w:sz w:val="28"/>
          <w:szCs w:val="28"/>
          <w:lang w:eastAsia="ar-SA"/>
        </w:rPr>
        <w:t xml:space="preserve"> октября 202</w:t>
      </w:r>
      <w:r w:rsidR="000B248C" w:rsidRPr="000B248C">
        <w:rPr>
          <w:rFonts w:ascii="Times New Roman" w:eastAsia="Times New Roman" w:hAnsi="Times New Roman" w:cs="Times New Roman"/>
          <w:iCs/>
          <w:sz w:val="28"/>
          <w:szCs w:val="28"/>
          <w:lang w:eastAsia="ar-SA"/>
        </w:rPr>
        <w:t>4</w:t>
      </w:r>
      <w:r w:rsidRPr="00E74722">
        <w:rPr>
          <w:rFonts w:ascii="Times New Roman" w:eastAsia="Times New Roman" w:hAnsi="Times New Roman" w:cs="Times New Roman"/>
          <w:iCs/>
          <w:sz w:val="28"/>
          <w:szCs w:val="28"/>
          <w:lang w:eastAsia="ar-SA"/>
        </w:rPr>
        <w:t xml:space="preserve"> года. </w:t>
      </w:r>
      <w:r w:rsidRPr="00E74722">
        <w:rPr>
          <w:rFonts w:ascii="Times New Roman" w:eastAsia="Times New Roman" w:hAnsi="Times New Roman" w:cs="Times New Roman"/>
          <w:kern w:val="1"/>
          <w:sz w:val="28"/>
          <w:szCs w:val="28"/>
          <w:lang w:eastAsia="ar-SA"/>
        </w:rPr>
        <w:t>Одновременно с проектом решения предоставлена пояснительная записка.</w:t>
      </w:r>
      <w:r w:rsidRPr="00E74722">
        <w:rPr>
          <w:rFonts w:ascii="Times New Roman" w:eastAsiaTheme="minorHAnsi" w:hAnsi="Times New Roman" w:cs="Times New Roman"/>
          <w:sz w:val="28"/>
          <w:szCs w:val="28"/>
          <w:lang w:eastAsia="en-US"/>
        </w:rPr>
        <w:t xml:space="preserve"> П</w:t>
      </w:r>
      <w:r w:rsidRPr="00E74722">
        <w:rPr>
          <w:rFonts w:ascii="Times New Roman" w:eastAsia="Times New Roman" w:hAnsi="Times New Roman" w:cs="Times New Roman"/>
          <w:kern w:val="1"/>
          <w:sz w:val="28"/>
          <w:szCs w:val="28"/>
          <w:lang w:eastAsia="ar-SA"/>
        </w:rPr>
        <w:t xml:space="preserve">роект решения разработан финансовым управлением администрации Грачевского муниципального округа Ставропольского края. </w:t>
      </w:r>
    </w:p>
    <w:p w:rsidR="00E74722" w:rsidRPr="00E74722" w:rsidRDefault="00E74722" w:rsidP="00E7472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74722">
        <w:rPr>
          <w:rFonts w:ascii="Times New Roman" w:eastAsia="Times New Roman" w:hAnsi="Times New Roman" w:cs="Times New Roman"/>
          <w:color w:val="000000"/>
          <w:sz w:val="28"/>
          <w:szCs w:val="28"/>
        </w:rPr>
        <w:lastRenderedPageBreak/>
        <w:t>Проектом решения предлагается произвести замену 5% дотации на выравнивание уровня бюджетной обеспеченности, предоставляемой Грачевскому муниципальному округу Ставропольского края из бюджета Став</w:t>
      </w:r>
      <w:r w:rsidR="000B248C">
        <w:rPr>
          <w:rFonts w:ascii="Times New Roman" w:eastAsia="Times New Roman" w:hAnsi="Times New Roman" w:cs="Times New Roman"/>
          <w:color w:val="000000"/>
          <w:sz w:val="28"/>
          <w:szCs w:val="28"/>
        </w:rPr>
        <w:t>ропольского края на 202</w:t>
      </w:r>
      <w:r w:rsidR="000B248C" w:rsidRPr="000B248C">
        <w:rPr>
          <w:rFonts w:ascii="Times New Roman" w:eastAsia="Times New Roman" w:hAnsi="Times New Roman" w:cs="Times New Roman"/>
          <w:color w:val="000000"/>
          <w:sz w:val="28"/>
          <w:szCs w:val="28"/>
        </w:rPr>
        <w:t>5</w:t>
      </w:r>
      <w:r w:rsidRPr="00E74722">
        <w:rPr>
          <w:rFonts w:ascii="Times New Roman" w:eastAsia="Times New Roman" w:hAnsi="Times New Roman" w:cs="Times New Roman"/>
          <w:color w:val="000000"/>
          <w:sz w:val="28"/>
          <w:szCs w:val="28"/>
        </w:rPr>
        <w:t xml:space="preserve"> год и плановый период 202</w:t>
      </w:r>
      <w:r w:rsidR="000B248C" w:rsidRPr="000B248C">
        <w:rPr>
          <w:rFonts w:ascii="Times New Roman" w:eastAsia="Times New Roman" w:hAnsi="Times New Roman" w:cs="Times New Roman"/>
          <w:color w:val="000000"/>
          <w:sz w:val="28"/>
          <w:szCs w:val="28"/>
        </w:rPr>
        <w:t>6</w:t>
      </w:r>
      <w:r w:rsidRPr="00E74722">
        <w:rPr>
          <w:rFonts w:ascii="Times New Roman" w:eastAsia="Times New Roman" w:hAnsi="Times New Roman" w:cs="Times New Roman"/>
          <w:color w:val="000000"/>
          <w:sz w:val="28"/>
          <w:szCs w:val="28"/>
        </w:rPr>
        <w:t xml:space="preserve"> и 202</w:t>
      </w:r>
      <w:r w:rsidR="000B248C" w:rsidRPr="000B248C">
        <w:rPr>
          <w:rFonts w:ascii="Times New Roman" w:eastAsia="Times New Roman" w:hAnsi="Times New Roman" w:cs="Times New Roman"/>
          <w:color w:val="000000"/>
          <w:sz w:val="28"/>
          <w:szCs w:val="28"/>
        </w:rPr>
        <w:t>7</w:t>
      </w:r>
      <w:r w:rsidRPr="00E74722">
        <w:rPr>
          <w:rFonts w:ascii="Times New Roman" w:eastAsia="Times New Roman" w:hAnsi="Times New Roman" w:cs="Times New Roman"/>
          <w:color w:val="000000"/>
          <w:sz w:val="28"/>
          <w:szCs w:val="28"/>
        </w:rPr>
        <w:t xml:space="preserve"> годов, дополнительным нормативом отчислений в бюджет Грачевского муниципального округа от налога на доходы физических лиц:</w:t>
      </w:r>
    </w:p>
    <w:p w:rsidR="000B248C" w:rsidRPr="000B248C" w:rsidRDefault="00E74722" w:rsidP="000B248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74722">
        <w:rPr>
          <w:rFonts w:ascii="Times New Roman" w:eastAsia="Times New Roman" w:hAnsi="Times New Roman" w:cs="Times New Roman"/>
          <w:color w:val="000000"/>
          <w:sz w:val="28"/>
          <w:szCs w:val="28"/>
        </w:rPr>
        <w:t xml:space="preserve">- </w:t>
      </w:r>
      <w:r w:rsidR="000B248C" w:rsidRPr="000B248C">
        <w:rPr>
          <w:rFonts w:ascii="Times New Roman" w:eastAsia="Times New Roman" w:hAnsi="Times New Roman" w:cs="Times New Roman"/>
          <w:color w:val="000000"/>
          <w:sz w:val="28"/>
          <w:szCs w:val="28"/>
        </w:rPr>
        <w:t>на 2025 год в размере 6,00 процента;</w:t>
      </w:r>
    </w:p>
    <w:p w:rsidR="000B248C" w:rsidRPr="000B248C" w:rsidRDefault="000B248C" w:rsidP="000B248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248C">
        <w:rPr>
          <w:rFonts w:ascii="Times New Roman" w:eastAsia="Times New Roman" w:hAnsi="Times New Roman" w:cs="Times New Roman"/>
          <w:color w:val="000000"/>
          <w:sz w:val="28"/>
          <w:szCs w:val="28"/>
        </w:rPr>
        <w:t>- на 2026 год в размере 4,70 процента;</w:t>
      </w:r>
    </w:p>
    <w:p w:rsidR="00E74722" w:rsidRPr="00E74722" w:rsidRDefault="000B248C" w:rsidP="000B248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248C">
        <w:rPr>
          <w:rFonts w:ascii="Times New Roman" w:eastAsia="Times New Roman" w:hAnsi="Times New Roman" w:cs="Times New Roman"/>
          <w:color w:val="000000"/>
          <w:sz w:val="28"/>
          <w:szCs w:val="28"/>
        </w:rPr>
        <w:t>- на 2027 год в размере 4,34 процента</w:t>
      </w:r>
      <w:r w:rsidR="00E74722" w:rsidRPr="00E74722">
        <w:rPr>
          <w:rFonts w:ascii="Times New Roman" w:eastAsia="Times New Roman" w:hAnsi="Times New Roman" w:cs="Times New Roman"/>
          <w:color w:val="000000"/>
          <w:sz w:val="28"/>
          <w:szCs w:val="28"/>
        </w:rPr>
        <w:t>.</w:t>
      </w:r>
    </w:p>
    <w:p w:rsidR="00E74722" w:rsidRPr="00E74722" w:rsidRDefault="00E74722" w:rsidP="00E74722">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E74722">
        <w:rPr>
          <w:rFonts w:ascii="Times New Roman" w:eastAsiaTheme="minorHAnsi" w:hAnsi="Times New Roman" w:cs="Times New Roman"/>
          <w:sz w:val="28"/>
          <w:szCs w:val="28"/>
          <w:lang w:eastAsia="en-US"/>
        </w:rPr>
        <w:t>Рассмотрев проект решения и прилагаемые к нему документы, Контрольно-счетная комиссия отмечает следующее:</w:t>
      </w:r>
    </w:p>
    <w:p w:rsidR="000B248C" w:rsidRPr="000B248C" w:rsidRDefault="000B248C" w:rsidP="000B248C">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0B248C">
        <w:rPr>
          <w:rFonts w:ascii="Times New Roman" w:eastAsiaTheme="minorHAnsi" w:hAnsi="Times New Roman" w:cs="Times New Roman"/>
          <w:sz w:val="28"/>
          <w:szCs w:val="28"/>
          <w:lang w:eastAsia="en-US"/>
        </w:rPr>
        <w:t xml:space="preserve">Дотации на выравнивание бюджетной обеспеченности муниципальных округов предусматриваются в бюджете субъекта РФ в целях выравнивания бюджетной обеспеченности муниципальных округов (исходя из необходимости </w:t>
      </w:r>
      <w:proofErr w:type="gramStart"/>
      <w:r w:rsidRPr="000B248C">
        <w:rPr>
          <w:rFonts w:ascii="Times New Roman" w:eastAsiaTheme="minorHAnsi" w:hAnsi="Times New Roman" w:cs="Times New Roman"/>
          <w:sz w:val="28"/>
          <w:szCs w:val="28"/>
          <w:lang w:eastAsia="en-US"/>
        </w:rPr>
        <w:t>достижения критерия выравнивания расчетной бюджетной обеспеченности муниципальных округов</w:t>
      </w:r>
      <w:proofErr w:type="gramEnd"/>
      <w:r w:rsidRPr="000B248C">
        <w:rPr>
          <w:rFonts w:ascii="Times New Roman" w:eastAsiaTheme="minorHAnsi" w:hAnsi="Times New Roman" w:cs="Times New Roman"/>
          <w:sz w:val="28"/>
          <w:szCs w:val="28"/>
          <w:lang w:eastAsia="en-US"/>
        </w:rPr>
        <w:t>).</w:t>
      </w:r>
    </w:p>
    <w:p w:rsidR="000B248C" w:rsidRPr="000B248C" w:rsidRDefault="000B248C" w:rsidP="000B248C">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0B248C">
        <w:rPr>
          <w:rFonts w:ascii="Times New Roman" w:eastAsiaTheme="minorHAnsi" w:hAnsi="Times New Roman" w:cs="Times New Roman"/>
          <w:sz w:val="28"/>
          <w:szCs w:val="28"/>
          <w:lang w:eastAsia="en-US"/>
        </w:rPr>
        <w:t>Согласно статье 138 Бюджетного кодекса РФ при составлении и утверждении бюджета субъекта Российской Федерации дотации на выравнивание бюджетной обеспеченности могут быть полностью или частично заменены дополнительными нормативами отчислений от НДФЛ.</w:t>
      </w:r>
    </w:p>
    <w:p w:rsidR="000B248C" w:rsidRPr="000B248C" w:rsidRDefault="000B248C" w:rsidP="000B248C">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0B248C">
        <w:rPr>
          <w:rFonts w:ascii="Times New Roman" w:eastAsiaTheme="minorHAnsi" w:hAnsi="Times New Roman" w:cs="Times New Roman"/>
          <w:sz w:val="28"/>
          <w:szCs w:val="28"/>
          <w:lang w:eastAsia="en-US"/>
        </w:rPr>
        <w:t>В соответствии с пунктом 5 статьи 138 Бюджетного кодекса РФ, данное решение может приниматься субъектом Российской Федерации только по согласованию с представительным органом муниципального округа.</w:t>
      </w:r>
    </w:p>
    <w:p w:rsidR="000B248C" w:rsidRPr="000B248C" w:rsidRDefault="000B248C" w:rsidP="000B248C">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0B248C">
        <w:rPr>
          <w:rFonts w:ascii="Times New Roman" w:eastAsiaTheme="minorHAnsi" w:hAnsi="Times New Roman" w:cs="Times New Roman"/>
          <w:sz w:val="28"/>
          <w:szCs w:val="28"/>
          <w:lang w:eastAsia="en-US"/>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округов в течение текущего финансового года не допускается.</w:t>
      </w:r>
    </w:p>
    <w:p w:rsidR="000B248C" w:rsidRPr="000B248C" w:rsidRDefault="000B248C" w:rsidP="000B248C">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0B248C">
        <w:rPr>
          <w:rFonts w:ascii="Times New Roman" w:eastAsiaTheme="minorHAnsi" w:hAnsi="Times New Roman" w:cs="Times New Roman"/>
          <w:sz w:val="28"/>
          <w:szCs w:val="28"/>
          <w:lang w:eastAsia="en-US"/>
        </w:rPr>
        <w:t xml:space="preserve"> Положительным фактором указанной замены является то, что средства, полученные по дополнительному нормативу отчислений от налога на доходы физических лиц сверх объема расчетной дотации, изъятию в краевой бюджет и (или) учету при последующем распределении межбюджетных трансфертов местным бюджетам не подлежат.</w:t>
      </w:r>
    </w:p>
    <w:p w:rsidR="000B248C" w:rsidRPr="000B248C" w:rsidRDefault="000B248C" w:rsidP="000B248C">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0B248C">
        <w:rPr>
          <w:rFonts w:ascii="Times New Roman" w:eastAsiaTheme="minorHAnsi" w:hAnsi="Times New Roman" w:cs="Times New Roman"/>
          <w:sz w:val="28"/>
          <w:szCs w:val="28"/>
          <w:lang w:eastAsia="en-US"/>
        </w:rPr>
        <w:t>Вместе с тем, потери бюджета муниципального округа в связи с получением средств по дополнительному нормативу отчислений от НДФЛ ниже расчетного объема дотации компенсации из краевого бюджета и (или) учету при последующем распределении межбюджетных трансфертов местным бюджетам не подлежат.</w:t>
      </w:r>
    </w:p>
    <w:p w:rsidR="000B248C" w:rsidRPr="000B248C" w:rsidRDefault="000B248C" w:rsidP="000B248C">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0B248C">
        <w:rPr>
          <w:rFonts w:ascii="Times New Roman" w:eastAsiaTheme="minorHAnsi" w:hAnsi="Times New Roman" w:cs="Times New Roman"/>
          <w:sz w:val="28"/>
          <w:szCs w:val="28"/>
          <w:lang w:eastAsia="en-US"/>
        </w:rPr>
        <w:t>Целесообразность замены дотации дополнительным нормативом отчислений от налога на доходы физических лиц обусловлена положительной практикой поступления в бюджет Грачевского муниципального округа НДФЛ по дополнительному нормативу отчислений за 2023-2024 годы.</w:t>
      </w:r>
    </w:p>
    <w:p w:rsidR="000B248C" w:rsidRPr="000B248C" w:rsidRDefault="000B248C" w:rsidP="000B248C">
      <w:pPr>
        <w:shd w:val="clear" w:color="auto" w:fill="FFFFFF"/>
        <w:spacing w:after="0" w:line="240" w:lineRule="auto"/>
        <w:ind w:firstLine="709"/>
        <w:jc w:val="both"/>
        <w:rPr>
          <w:rFonts w:ascii="Times New Roman" w:eastAsiaTheme="minorHAnsi" w:hAnsi="Times New Roman" w:cs="Times New Roman"/>
          <w:sz w:val="28"/>
          <w:szCs w:val="28"/>
          <w:lang w:eastAsia="en-US"/>
        </w:rPr>
      </w:pPr>
      <w:proofErr w:type="gramStart"/>
      <w:r w:rsidRPr="000B248C">
        <w:rPr>
          <w:rFonts w:ascii="Times New Roman" w:eastAsiaTheme="minorHAnsi" w:hAnsi="Times New Roman" w:cs="Times New Roman"/>
          <w:sz w:val="28"/>
          <w:szCs w:val="28"/>
          <w:lang w:eastAsia="en-US"/>
        </w:rPr>
        <w:t xml:space="preserve">В представленных финансовым управлением администрации Грачевского муниципального округа Ставропольского края расчетах к пояснительной записке проекта решения приведен анализ объемов дотации на выравнивание </w:t>
      </w:r>
      <w:r w:rsidRPr="000B248C">
        <w:rPr>
          <w:rFonts w:ascii="Times New Roman" w:eastAsiaTheme="minorHAnsi" w:hAnsi="Times New Roman" w:cs="Times New Roman"/>
          <w:sz w:val="28"/>
          <w:szCs w:val="28"/>
          <w:lang w:eastAsia="en-US"/>
        </w:rPr>
        <w:lastRenderedPageBreak/>
        <w:t xml:space="preserve">бюджетной обеспеченности и поступившего налога на доходы физических лиц по дополнительным нормативам. </w:t>
      </w:r>
      <w:proofErr w:type="gramEnd"/>
    </w:p>
    <w:p w:rsidR="000B248C" w:rsidRPr="000B248C" w:rsidRDefault="000B248C" w:rsidP="000B248C">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0B248C">
        <w:rPr>
          <w:rFonts w:ascii="Times New Roman" w:eastAsiaTheme="minorHAnsi" w:hAnsi="Times New Roman" w:cs="Times New Roman"/>
          <w:sz w:val="28"/>
          <w:szCs w:val="28"/>
          <w:lang w:eastAsia="en-US"/>
        </w:rPr>
        <w:t xml:space="preserve">Согласно анализу, проведенному Контрольно-счетной комиссией, замена дотации позволила в 2023 году привлечь в бюджет Грачевского муниципального округа дополнительно 4 384,93 тыс. рублей. </w:t>
      </w:r>
    </w:p>
    <w:p w:rsidR="000B248C" w:rsidRPr="000B248C" w:rsidRDefault="000B248C" w:rsidP="000B248C">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0B248C">
        <w:rPr>
          <w:rFonts w:ascii="Times New Roman" w:eastAsiaTheme="minorHAnsi" w:hAnsi="Times New Roman" w:cs="Times New Roman"/>
          <w:sz w:val="28"/>
          <w:szCs w:val="28"/>
          <w:lang w:eastAsia="en-US"/>
        </w:rPr>
        <w:t>В 2024 году, исходя из ожидаемого поступления налога на доходы физических лиц, замена дотации дополнительным нормативом отчислений позволит обеспечить поступление в бюджет Грачевского муниципального округа дополнительно порядка 5 245,12 тыс. рублей.</w:t>
      </w:r>
    </w:p>
    <w:p w:rsidR="000B248C" w:rsidRPr="000B248C" w:rsidRDefault="000B248C" w:rsidP="000B248C">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0B248C">
        <w:rPr>
          <w:rFonts w:ascii="Times New Roman" w:eastAsiaTheme="minorHAnsi" w:hAnsi="Times New Roman" w:cs="Times New Roman"/>
          <w:sz w:val="28"/>
          <w:szCs w:val="28"/>
          <w:lang w:eastAsia="en-US"/>
        </w:rPr>
        <w:t>Такой результат позволяет сделать выводы о возможности получения дополнительных доходов от замены дотации на дополнительный норматив и в плановом периоде.</w:t>
      </w:r>
    </w:p>
    <w:p w:rsidR="00E74722" w:rsidRPr="00E74722" w:rsidRDefault="000B248C" w:rsidP="000B248C">
      <w:pPr>
        <w:shd w:val="clear" w:color="auto" w:fill="FFFFFF"/>
        <w:spacing w:after="0" w:line="240" w:lineRule="auto"/>
        <w:ind w:firstLine="709"/>
        <w:jc w:val="both"/>
        <w:rPr>
          <w:rFonts w:ascii="Times New Roman" w:eastAsia="Times New Roman" w:hAnsi="Times New Roman" w:cs="Times New Roman"/>
          <w:sz w:val="28"/>
          <w:szCs w:val="28"/>
        </w:rPr>
      </w:pPr>
      <w:r w:rsidRPr="000B248C">
        <w:rPr>
          <w:rFonts w:ascii="Times New Roman" w:eastAsiaTheme="minorHAnsi" w:hAnsi="Times New Roman" w:cs="Times New Roman"/>
          <w:sz w:val="28"/>
          <w:szCs w:val="28"/>
          <w:lang w:eastAsia="en-US"/>
        </w:rPr>
        <w:t>На основании вышеизложенного Контрольно-счетная комиссия отмечает, что проект решения разработан в пределах полномочий органов местного самоуправления Грачевского муниципального округа Ставропольского края и его принятие относится к компетенции Совета Грачевского муниципального округа Ставропольского края</w:t>
      </w:r>
      <w:bookmarkStart w:id="0" w:name="_GoBack"/>
      <w:bookmarkEnd w:id="0"/>
      <w:r w:rsidR="00E74722" w:rsidRPr="00E74722">
        <w:rPr>
          <w:rFonts w:ascii="Times New Roman" w:eastAsia="Times New Roman" w:hAnsi="Times New Roman" w:cs="Times New Roman"/>
          <w:sz w:val="28"/>
          <w:szCs w:val="28"/>
        </w:rPr>
        <w:t>.</w:t>
      </w:r>
    </w:p>
    <w:p w:rsidR="00E74722" w:rsidRPr="00E74722" w:rsidRDefault="00E74722" w:rsidP="00E74722">
      <w:pPr>
        <w:shd w:val="clear" w:color="auto" w:fill="FFFFFF"/>
        <w:spacing w:before="300" w:after="0" w:line="240" w:lineRule="auto"/>
        <w:ind w:firstLine="709"/>
        <w:jc w:val="both"/>
        <w:rPr>
          <w:rFonts w:ascii="Times New Roman" w:eastAsia="Times New Roman" w:hAnsi="Times New Roman" w:cs="Times New Roman"/>
          <w:sz w:val="28"/>
          <w:szCs w:val="28"/>
        </w:rPr>
      </w:pPr>
      <w:r w:rsidRPr="00E74722">
        <w:rPr>
          <w:rFonts w:ascii="Times New Roman" w:eastAsia="Times New Roman" w:hAnsi="Times New Roman" w:cs="Times New Roman"/>
          <w:sz w:val="28"/>
          <w:szCs w:val="28"/>
        </w:rPr>
        <w:t>Выводы:</w:t>
      </w:r>
    </w:p>
    <w:p w:rsidR="00BA27DD" w:rsidRDefault="00E74722" w:rsidP="00E74722">
      <w:pPr>
        <w:tabs>
          <w:tab w:val="left" w:pos="-4111"/>
        </w:tabs>
        <w:spacing w:after="0" w:line="240" w:lineRule="auto"/>
        <w:ind w:firstLine="709"/>
        <w:jc w:val="both"/>
        <w:rPr>
          <w:rFonts w:ascii="Times New Roman" w:hAnsi="Times New Roman" w:cs="Times New Roman"/>
          <w:sz w:val="28"/>
          <w:szCs w:val="28"/>
        </w:rPr>
      </w:pPr>
      <w:proofErr w:type="gramStart"/>
      <w:r w:rsidRPr="00E74722">
        <w:rPr>
          <w:rFonts w:ascii="Times New Roman" w:eastAsia="Times New Roman" w:hAnsi="Times New Roman" w:cs="Times New Roman"/>
          <w:sz w:val="28"/>
          <w:szCs w:val="28"/>
        </w:rPr>
        <w:t>Представленный на экспертизу проект решения Совета Грачевского муниципального округа Ставропольского края «Об установлении доли дотации на выравнивание бюджетной обеспеченности, подлежащей замене на дополнительный норматив отчислений от налога на доходы физических лиц» не противоречит действующему законодательству и может быть рассмотрен на очередном заседании Совета Грачевского муниципального округа Ставропольского края</w:t>
      </w:r>
      <w:r w:rsidRPr="00E74722">
        <w:rPr>
          <w:rFonts w:eastAsiaTheme="minorHAnsi"/>
          <w:lang w:eastAsia="en-US"/>
        </w:rPr>
        <w:t xml:space="preserve"> </w:t>
      </w:r>
      <w:r w:rsidRPr="00E74722">
        <w:rPr>
          <w:rFonts w:ascii="Times New Roman" w:eastAsia="Times New Roman" w:hAnsi="Times New Roman" w:cs="Times New Roman"/>
          <w:sz w:val="28"/>
          <w:szCs w:val="28"/>
        </w:rPr>
        <w:t>в установленном порядке.</w:t>
      </w:r>
      <w:proofErr w:type="gramEnd"/>
    </w:p>
    <w:p w:rsidR="00EF2AC7" w:rsidRDefault="00EF2AC7"/>
    <w:sectPr w:rsidR="00EF2AC7" w:rsidSect="006E774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273B1"/>
    <w:multiLevelType w:val="hybridMultilevel"/>
    <w:tmpl w:val="EB141FC4"/>
    <w:lvl w:ilvl="0" w:tplc="C9C04094">
      <w:start w:val="1"/>
      <w:numFmt w:val="bullet"/>
      <w:lvlText w:val="-"/>
      <w:lvlJc w:val="left"/>
      <w:pPr>
        <w:tabs>
          <w:tab w:val="num" w:pos="964"/>
        </w:tabs>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DD"/>
    <w:rsid w:val="00003DD8"/>
    <w:rsid w:val="000B248C"/>
    <w:rsid w:val="002B260A"/>
    <w:rsid w:val="00313D95"/>
    <w:rsid w:val="003D32B5"/>
    <w:rsid w:val="00AC03A7"/>
    <w:rsid w:val="00BA27DD"/>
    <w:rsid w:val="00C83E49"/>
    <w:rsid w:val="00E74722"/>
    <w:rsid w:val="00E84BDB"/>
    <w:rsid w:val="00EF2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DD"/>
    <w:pPr>
      <w:spacing w:after="200" w:line="276" w:lineRule="auto"/>
      <w:ind w:firstLine="0"/>
      <w:jc w:val="left"/>
    </w:pPr>
    <w:rPr>
      <w:rFonts w:asciiTheme="minorHAnsi" w:eastAsiaTheme="minorEastAsia" w:hAnsiTheme="minorHAnsi"/>
      <w:sz w:val="22"/>
      <w:lang w:eastAsia="ru-RU"/>
    </w:rPr>
  </w:style>
  <w:style w:type="paragraph" w:styleId="2">
    <w:name w:val="heading 2"/>
    <w:basedOn w:val="a"/>
    <w:next w:val="a"/>
    <w:link w:val="20"/>
    <w:qFormat/>
    <w:rsid w:val="00BA27DD"/>
    <w:pPr>
      <w:spacing w:after="0" w:line="240" w:lineRule="auto"/>
      <w:jc w:val="center"/>
      <w:outlineLvl w:val="1"/>
    </w:pPr>
    <w:rPr>
      <w:rFonts w:ascii="Times New Roman" w:eastAsia="Times New Roman" w:hAnsi="Times New Roman" w:cs="Times New Roman"/>
      <w:b/>
      <w:caps/>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A27DD"/>
    <w:rPr>
      <w:rFonts w:eastAsia="Times New Roman" w:cs="Times New Roman"/>
      <w:b/>
      <w:caps/>
      <w:snapToGrid w:val="0"/>
      <w:szCs w:val="28"/>
      <w:lang w:eastAsia="ru-RU"/>
    </w:rPr>
  </w:style>
  <w:style w:type="table" w:styleId="a3">
    <w:name w:val="Table Grid"/>
    <w:basedOn w:val="a1"/>
    <w:uiPriority w:val="59"/>
    <w:rsid w:val="00BA27DD"/>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DD"/>
    <w:pPr>
      <w:spacing w:after="200" w:line="276" w:lineRule="auto"/>
      <w:ind w:firstLine="0"/>
      <w:jc w:val="left"/>
    </w:pPr>
    <w:rPr>
      <w:rFonts w:asciiTheme="minorHAnsi" w:eastAsiaTheme="minorEastAsia" w:hAnsiTheme="minorHAnsi"/>
      <w:sz w:val="22"/>
      <w:lang w:eastAsia="ru-RU"/>
    </w:rPr>
  </w:style>
  <w:style w:type="paragraph" w:styleId="2">
    <w:name w:val="heading 2"/>
    <w:basedOn w:val="a"/>
    <w:next w:val="a"/>
    <w:link w:val="20"/>
    <w:qFormat/>
    <w:rsid w:val="00BA27DD"/>
    <w:pPr>
      <w:spacing w:after="0" w:line="240" w:lineRule="auto"/>
      <w:jc w:val="center"/>
      <w:outlineLvl w:val="1"/>
    </w:pPr>
    <w:rPr>
      <w:rFonts w:ascii="Times New Roman" w:eastAsia="Times New Roman" w:hAnsi="Times New Roman" w:cs="Times New Roman"/>
      <w:b/>
      <w:caps/>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A27DD"/>
    <w:rPr>
      <w:rFonts w:eastAsia="Times New Roman" w:cs="Times New Roman"/>
      <w:b/>
      <w:caps/>
      <w:snapToGrid w:val="0"/>
      <w:szCs w:val="28"/>
      <w:lang w:eastAsia="ru-RU"/>
    </w:rPr>
  </w:style>
  <w:style w:type="table" w:styleId="a3">
    <w:name w:val="Table Grid"/>
    <w:basedOn w:val="a1"/>
    <w:uiPriority w:val="59"/>
    <w:rsid w:val="00BA27DD"/>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KSK</dc:creator>
  <cp:lastModifiedBy>KSK</cp:lastModifiedBy>
  <cp:revision>5</cp:revision>
  <dcterms:created xsi:type="dcterms:W3CDTF">2023-11-17T07:27:00Z</dcterms:created>
  <dcterms:modified xsi:type="dcterms:W3CDTF">2024-10-10T06:06:00Z</dcterms:modified>
</cp:coreProperties>
</file>