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</w:t>
      </w:r>
      <w:r w:rsidR="00FA3A5E" w:rsidRPr="00FA3A5E">
        <w:rPr>
          <w:rFonts w:ascii="Times New Roman" w:hAnsi="Times New Roman" w:cs="Times New Roman"/>
          <w:color w:val="auto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44F36">
        <w:rPr>
          <w:rFonts w:ascii="Times New Roman" w:hAnsi="Times New Roman" w:cs="Times New Roman"/>
          <w:color w:val="auto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5F0AED" w:rsidP="005F0AED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  <w:r w:rsidR="001047F7" w:rsidRPr="00C3427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декабря</w:t>
            </w:r>
            <w:r w:rsidR="00013C44" w:rsidRPr="00C342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C34270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C34270">
              <w:rPr>
                <w:rFonts w:ascii="Times New Roman" w:hAnsi="Times New Roman" w:cs="Times New Roman"/>
                <w:sz w:val="28"/>
              </w:rPr>
              <w:t>2</w:t>
            </w:r>
            <w:r w:rsidR="00FA3A5E" w:rsidRPr="00C34270">
              <w:rPr>
                <w:rFonts w:ascii="Times New Roman" w:hAnsi="Times New Roman" w:cs="Times New Roman"/>
                <w:sz w:val="28"/>
              </w:rPr>
              <w:t>4</w:t>
            </w:r>
            <w:r w:rsidR="001047F7" w:rsidRPr="00C342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C34270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ED0F1B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EC586E" w:rsidRPr="001B1C4B">
        <w:rPr>
          <w:rFonts w:ascii="Times New Roman" w:hAnsi="Times New Roman" w:cs="Times New Roman"/>
          <w:sz w:val="28"/>
          <w:szCs w:val="28"/>
        </w:rPr>
        <w:t>4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 w:rsidRPr="00C34270">
        <w:rPr>
          <w:rFonts w:ascii="Times New Roman" w:hAnsi="Times New Roman" w:cs="Times New Roman"/>
          <w:sz w:val="28"/>
          <w:szCs w:val="28"/>
        </w:rPr>
        <w:t xml:space="preserve">с </w:t>
      </w:r>
      <w:r w:rsidR="005F0AED">
        <w:rPr>
          <w:rFonts w:ascii="Times New Roman" w:hAnsi="Times New Roman" w:cs="Times New Roman"/>
          <w:sz w:val="28"/>
          <w:szCs w:val="28"/>
        </w:rPr>
        <w:t>2</w:t>
      </w:r>
      <w:r w:rsidR="00882CB3" w:rsidRPr="00C34270">
        <w:rPr>
          <w:rFonts w:ascii="Times New Roman" w:hAnsi="Times New Roman" w:cs="Times New Roman"/>
          <w:sz w:val="28"/>
          <w:szCs w:val="28"/>
        </w:rPr>
        <w:t>7</w:t>
      </w:r>
      <w:r w:rsidR="005F0AE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42327" w:rsidRPr="00C34270">
        <w:rPr>
          <w:rFonts w:ascii="Times New Roman" w:hAnsi="Times New Roman" w:cs="Times New Roman"/>
          <w:sz w:val="28"/>
          <w:szCs w:val="28"/>
        </w:rPr>
        <w:t xml:space="preserve"> по </w:t>
      </w:r>
      <w:r w:rsidR="005F0AED">
        <w:rPr>
          <w:rFonts w:ascii="Times New Roman" w:hAnsi="Times New Roman" w:cs="Times New Roman"/>
          <w:sz w:val="28"/>
          <w:szCs w:val="28"/>
        </w:rPr>
        <w:t>4</w:t>
      </w:r>
      <w:r w:rsidR="00A42327" w:rsidRPr="00C34270">
        <w:rPr>
          <w:rFonts w:ascii="Times New Roman" w:hAnsi="Times New Roman" w:cs="Times New Roman"/>
          <w:sz w:val="28"/>
          <w:szCs w:val="28"/>
        </w:rPr>
        <w:t> </w:t>
      </w:r>
      <w:r w:rsidR="005F0AED">
        <w:rPr>
          <w:rFonts w:ascii="Times New Roman" w:hAnsi="Times New Roman" w:cs="Times New Roman"/>
          <w:sz w:val="28"/>
          <w:szCs w:val="28"/>
        </w:rPr>
        <w:t>декабря</w:t>
      </w:r>
      <w:r w:rsidR="00DB2552" w:rsidRPr="00C34270">
        <w:rPr>
          <w:rFonts w:ascii="Times New Roman" w:hAnsi="Times New Roman" w:cs="Times New Roman"/>
          <w:sz w:val="28"/>
          <w:szCs w:val="28"/>
        </w:rPr>
        <w:t xml:space="preserve"> 202</w:t>
      </w:r>
      <w:r w:rsidR="00FA3A5E" w:rsidRPr="00C34270">
        <w:rPr>
          <w:rFonts w:ascii="Times New Roman" w:hAnsi="Times New Roman" w:cs="Times New Roman"/>
          <w:sz w:val="28"/>
          <w:szCs w:val="28"/>
        </w:rPr>
        <w:t>4</w:t>
      </w:r>
      <w:r w:rsidR="00DB2552" w:rsidRPr="00C342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34270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5F0AED" w:rsidP="005F0AED">
      <w:pPr>
        <w:pStyle w:val="a"/>
      </w:pPr>
      <w:proofErr w:type="gramStart"/>
      <w:r w:rsidRPr="005F0AED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2024 год и плановый период 2025-2026 годов, утвержденных решением Совета Грачевского муниципального округа Ставропольского края от 20 </w:t>
      </w:r>
      <w:r w:rsidRPr="005F0AED">
        <w:lastRenderedPageBreak/>
        <w:t>декабря 2023 года № 93 «О бюджете Грачевского муниципального округа Ставропольского края на 2024 год и на плановый период 2025 и 2026 годов»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5F0AED" w:rsidP="005F0AED">
      <w:pPr>
        <w:pStyle w:val="a"/>
      </w:pPr>
      <w:r w:rsidRPr="005F0AED">
        <w:t>Проектом решения вносятся изменения в текстовую часть, а именно в пункты 1, 4, 8, 10, 16, 23, 30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5F0AED" w:rsidP="005F0AED">
      <w:pPr>
        <w:pStyle w:val="a"/>
      </w:pPr>
      <w:r w:rsidRPr="005F0AED">
        <w:t>Внесенные коррективы повлияют на изменение основных характеристик местного бюджета в части увеличения в 2024 году объема доходов и расходов, при одновременном снижении размера дефицита бюджета. На плановый период 2025 года – в части уменьшения объема доходов и расходов, без изменения размера дефицита бюджета, на 2026 год изменение объема доходов и расходов бюджета не планируется</w:t>
      </w:r>
      <w:r w:rsidR="0029407B">
        <w:t>.</w:t>
      </w:r>
    </w:p>
    <w:p w:rsidR="00691DC0" w:rsidRDefault="005F0AED" w:rsidP="005F0AED">
      <w:pPr>
        <w:pStyle w:val="a"/>
      </w:pPr>
      <w:r w:rsidRPr="005F0AED">
        <w:t>Проектом решения на 2024 год планируется увеличение доходной части бюджета на 50 555 838,36 рублей или 3,12%, с увеличением расходной части бюджета на 10 073 223,12 рублей или на 0,60%. Размер дефицита планируется уменьшить на 40 482 615,24 рублей</w:t>
      </w:r>
      <w:bookmarkStart w:id="0" w:name="_GoBack"/>
      <w:bookmarkEnd w:id="0"/>
      <w:r w:rsidR="00EC4C77" w:rsidRPr="00EC4C77">
        <w:t>.</w:t>
      </w:r>
    </w:p>
    <w:p w:rsidR="00720494" w:rsidRDefault="00EC586E" w:rsidP="00EC586E">
      <w:pPr>
        <w:pStyle w:val="a"/>
      </w:pPr>
      <w:r w:rsidRPr="00EC586E">
        <w:t>Проектом решения предусматривается уточнение доходной части местного бюджета за счет увеличения налоговых и неналоговых доходов и объема безвозмездных поступлений</w:t>
      </w:r>
      <w:r w:rsidR="001047F7">
        <w:t>.</w:t>
      </w:r>
    </w:p>
    <w:p w:rsidR="001047F7" w:rsidRDefault="00113149" w:rsidP="00FA3A5E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 xml:space="preserve">в сторону </w:t>
      </w:r>
      <w:r w:rsidR="00FA3A5E">
        <w:t>увеличения</w:t>
      </w:r>
      <w:r w:rsidRPr="00113149">
        <w:t xml:space="preserve"> </w:t>
      </w:r>
      <w:r w:rsidR="00FA5B46">
        <w:t>планируется за счет</w:t>
      </w:r>
      <w:r w:rsidR="00882CB3">
        <w:t xml:space="preserve"> собственных средств и </w:t>
      </w:r>
      <w:r w:rsidR="00FA3A5E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CA1A99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FA3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F241F">
        <w:rPr>
          <w:rFonts w:ascii="Times New Roman" w:hAnsi="Times New Roman" w:cs="Times New Roman"/>
          <w:sz w:val="28"/>
          <w:szCs w:val="28"/>
        </w:rPr>
        <w:t>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1C4B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8167D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5F0AED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82CB3"/>
    <w:rsid w:val="008B127B"/>
    <w:rsid w:val="008D5E37"/>
    <w:rsid w:val="00905E25"/>
    <w:rsid w:val="00925C83"/>
    <w:rsid w:val="009549EE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34270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86E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3A5E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25</cp:revision>
  <cp:lastPrinted>2020-01-15T12:51:00Z</cp:lastPrinted>
  <dcterms:created xsi:type="dcterms:W3CDTF">2022-06-03T11:28:00Z</dcterms:created>
  <dcterms:modified xsi:type="dcterms:W3CDTF">2024-12-09T04:54:00Z</dcterms:modified>
</cp:coreProperties>
</file>