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ИНФОРМАЦИЯ</w:t>
      </w:r>
    </w:p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о результатах контрольного мероприятия «</w:t>
      </w:r>
      <w:r w:rsidR="00524E32" w:rsidRPr="00524E32">
        <w:rPr>
          <w:rStyle w:val="a6"/>
          <w:b w:val="0"/>
        </w:rPr>
        <w:t xml:space="preserve">Проверка законности, результативности (эффективности и экономности) использования средств бюджета Грачевского муниципального округа, выделенных </w:t>
      </w:r>
      <w:proofErr w:type="spellStart"/>
      <w:r w:rsidR="00524E32" w:rsidRPr="00524E32">
        <w:rPr>
          <w:rStyle w:val="a6"/>
          <w:b w:val="0"/>
        </w:rPr>
        <w:t>Кугультинскому</w:t>
      </w:r>
      <w:proofErr w:type="spellEnd"/>
      <w:r w:rsidR="00524E32" w:rsidRPr="00524E32">
        <w:rPr>
          <w:rStyle w:val="a6"/>
          <w:b w:val="0"/>
        </w:rPr>
        <w:t xml:space="preserve"> территориальному управлению администрации Грачевского муниципального округа Ставропольского края на реализацию инициативных проектов в 2022-2023 годах</w:t>
      </w:r>
      <w:r w:rsidRPr="00842AE2">
        <w:rPr>
          <w:rStyle w:val="a6"/>
          <w:b w:val="0"/>
        </w:rPr>
        <w:t>», о выявленных при его проведении нарушениях, о внесенных представлениях и предписаниях</w:t>
      </w:r>
    </w:p>
    <w:p w:rsidR="00AA1631" w:rsidRPr="00842AE2" w:rsidRDefault="00AA1631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rPr>
          <w:rStyle w:val="a6"/>
          <w:b w:val="0"/>
        </w:rPr>
        <w:t>Основание для проведения контрольного мероприятия:</w:t>
      </w:r>
      <w:r w:rsidR="00682D6E" w:rsidRPr="00842AE2">
        <w:t xml:space="preserve"> </w:t>
      </w:r>
      <w:r w:rsidR="00524E32" w:rsidRPr="00524E32">
        <w:t>пункт 2.5 плана работы Контрольно-счетной комиссии Грачевского муниципального округа Ставропольского края на 2024 год, распоряжение КСК ГМО СК от 04.10.2024 № 32</w:t>
      </w:r>
      <w:r w:rsidRPr="00842AE2">
        <w:t>.</w:t>
      </w:r>
    </w:p>
    <w:p w:rsidR="00AA1631" w:rsidRPr="00842AE2" w:rsidRDefault="0018401F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Цели</w:t>
      </w:r>
      <w:r w:rsidR="00AA1631" w:rsidRPr="00842AE2">
        <w:rPr>
          <w:rStyle w:val="a6"/>
          <w:b w:val="0"/>
        </w:rPr>
        <w:t xml:space="preserve"> контрольного мероприятия: </w:t>
      </w:r>
    </w:p>
    <w:p w:rsidR="00842AE2" w:rsidRPr="006A37C4" w:rsidRDefault="00524E32" w:rsidP="00524E32">
      <w:pPr>
        <w:pStyle w:val="a"/>
        <w:rPr>
          <w:rFonts w:ascii="Arial" w:hAnsi="Arial" w:cs="Arial"/>
          <w:b/>
          <w:snapToGrid w:val="0"/>
          <w:sz w:val="24"/>
        </w:rPr>
      </w:pPr>
      <w:r w:rsidRPr="00524E32">
        <w:rPr>
          <w:sz w:val="24"/>
        </w:rPr>
        <w:t xml:space="preserve">Проверка законности, результативности (эффективности и экономности) использования средств бюджета Грачевского муниципального округа, выделенных </w:t>
      </w:r>
      <w:proofErr w:type="spellStart"/>
      <w:r w:rsidRPr="00524E32">
        <w:rPr>
          <w:sz w:val="24"/>
        </w:rPr>
        <w:t>Кугультинскому</w:t>
      </w:r>
      <w:proofErr w:type="spellEnd"/>
      <w:r w:rsidRPr="00524E32">
        <w:rPr>
          <w:sz w:val="24"/>
        </w:rPr>
        <w:t xml:space="preserve"> территориальному управлению администрации Грачевского муниципального округа Ставропольского края на реализацию инициативных проектов в 2022-2023 годах</w:t>
      </w:r>
      <w:r w:rsidR="00842AE2" w:rsidRPr="006A37C4">
        <w:rPr>
          <w:sz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Предмет контрольного мероприятия: </w:t>
      </w:r>
    </w:p>
    <w:p w:rsidR="00524E32" w:rsidRPr="003D65AA" w:rsidRDefault="00524E32" w:rsidP="00524E32">
      <w:pPr>
        <w:pStyle w:val="a"/>
        <w:tabs>
          <w:tab w:val="num" w:pos="681"/>
        </w:tabs>
        <w:rPr>
          <w:sz w:val="24"/>
          <w:szCs w:val="24"/>
        </w:rPr>
      </w:pPr>
      <w:r w:rsidRPr="003D65AA">
        <w:rPr>
          <w:sz w:val="24"/>
          <w:szCs w:val="24"/>
        </w:rP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524E32" w:rsidRPr="003D65AA" w:rsidRDefault="00524E32" w:rsidP="00524E32">
      <w:pPr>
        <w:pStyle w:val="a"/>
        <w:tabs>
          <w:tab w:val="num" w:pos="681"/>
        </w:tabs>
        <w:rPr>
          <w:sz w:val="24"/>
          <w:szCs w:val="24"/>
        </w:rPr>
      </w:pPr>
      <w:r w:rsidRPr="003D65AA">
        <w:rPr>
          <w:sz w:val="24"/>
          <w:szCs w:val="24"/>
        </w:rP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842AE2" w:rsidRPr="000E081E" w:rsidRDefault="00524E32" w:rsidP="00524E32">
      <w:pPr>
        <w:pStyle w:val="a"/>
        <w:rPr>
          <w:sz w:val="24"/>
          <w:szCs w:val="24"/>
        </w:rPr>
      </w:pPr>
      <w:r w:rsidRPr="003D65AA">
        <w:rPr>
          <w:sz w:val="24"/>
          <w:szCs w:val="24"/>
        </w:rPr>
        <w:t>иные документы и материалы, относящиеся к теме проверки</w:t>
      </w:r>
      <w:r w:rsidR="00842AE2" w:rsidRPr="000E081E">
        <w:rPr>
          <w:sz w:val="24"/>
          <w:szCs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Объект (объекты) контрольного мероприятия:</w:t>
      </w:r>
    </w:p>
    <w:p w:rsidR="00AA1631" w:rsidRPr="00842AE2" w:rsidRDefault="0018401F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- </w:t>
      </w:r>
      <w:r w:rsidR="00524E32" w:rsidRPr="00524E32">
        <w:t xml:space="preserve">Кугультинское </w:t>
      </w:r>
      <w:r w:rsidR="00842AE2" w:rsidRPr="00842AE2">
        <w:t>территориальное управление администрации Грачевского муниципальн</w:t>
      </w:r>
      <w:r w:rsidR="006A37C4">
        <w:t>ого округа Ставропольского края</w:t>
      </w:r>
      <w:r w:rsidR="00AA1631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Проверяемый период: </w:t>
      </w:r>
      <w:r w:rsidR="00524E32" w:rsidRPr="00524E32">
        <w:rPr>
          <w:rStyle w:val="a6"/>
          <w:b w:val="0"/>
        </w:rPr>
        <w:t>2022-</w:t>
      </w:r>
      <w:r w:rsidR="00842AE2" w:rsidRPr="00842AE2">
        <w:t>202</w:t>
      </w:r>
      <w:r w:rsidR="008A0B2F">
        <w:t>3</w:t>
      </w:r>
      <w:r w:rsidR="00842AE2" w:rsidRPr="00842AE2">
        <w:t xml:space="preserve"> год</w:t>
      </w:r>
      <w:r w:rsidR="0018401F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6A37C4">
        <w:rPr>
          <w:rStyle w:val="a6"/>
          <w:b w:val="0"/>
        </w:rPr>
        <w:t>Срок проведения основного этапа контрольного мероприятия</w:t>
      </w:r>
      <w:r w:rsidR="00CB1803" w:rsidRPr="006A37C4">
        <w:rPr>
          <w:rStyle w:val="a6"/>
          <w:b w:val="0"/>
        </w:rPr>
        <w:t>:</w:t>
      </w:r>
      <w:r w:rsidRPr="006A37C4">
        <w:rPr>
          <w:rStyle w:val="a6"/>
          <w:b w:val="0"/>
        </w:rPr>
        <w:t xml:space="preserve"> </w:t>
      </w:r>
      <w:r w:rsidR="00524E32">
        <w:t>с 7 октября по 20 ноября 2024</w:t>
      </w:r>
      <w:r w:rsidR="00524E32">
        <w:rPr>
          <w:lang w:val="en-US"/>
        </w:rPr>
        <w:t> </w:t>
      </w:r>
      <w:r w:rsidR="00524E32" w:rsidRPr="00524E32">
        <w:t>года</w:t>
      </w:r>
      <w:r w:rsidRPr="006A37C4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Выявленные нарушения:</w:t>
      </w:r>
    </w:p>
    <w:p w:rsidR="00AA1631" w:rsidRPr="0007428A" w:rsidRDefault="00AA1631" w:rsidP="00682D6E">
      <w:pPr>
        <w:pStyle w:val="a5"/>
        <w:spacing w:before="0" w:beforeAutospacing="0" w:after="0" w:afterAutospacing="0"/>
        <w:ind w:firstLine="709"/>
        <w:jc w:val="both"/>
      </w:pPr>
      <w:r w:rsidRPr="0007428A">
        <w:t xml:space="preserve">В соответствии с </w:t>
      </w:r>
      <w:r w:rsidR="00682D6E" w:rsidRPr="0007428A">
        <w:t>Классификатором нарушений, выявляемых в ходе внешнего государственного аудита (контроля)</w:t>
      </w:r>
      <w:r w:rsidRPr="0007428A">
        <w:t xml:space="preserve">, одобренным </w:t>
      </w:r>
      <w:r w:rsidR="00682D6E" w:rsidRPr="0007428A">
        <w:t>Советом контрольно-счетных органов при Счетной палате Российской Федерации 22 декабря 2021 г., протокол № 11-СКСО</w:t>
      </w:r>
      <w:r w:rsidR="00CD5B52" w:rsidRPr="0007428A">
        <w:t xml:space="preserve">, выявлено </w:t>
      </w:r>
      <w:r w:rsidR="00524E32" w:rsidRPr="00524E32">
        <w:t>6</w:t>
      </w:r>
      <w:r w:rsidRPr="0007428A">
        <w:t xml:space="preserve"> в</w:t>
      </w:r>
      <w:r w:rsidR="00F05489" w:rsidRPr="0007428A">
        <w:t>ид</w:t>
      </w:r>
      <w:r w:rsidR="00524E32">
        <w:t>ов</w:t>
      </w:r>
      <w:r w:rsidRPr="0007428A">
        <w:t xml:space="preserve"> нарушений:</w:t>
      </w:r>
    </w:p>
    <w:p w:rsidR="00524E32" w:rsidRDefault="00524E32" w:rsidP="00524E3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>
        <w:t>невключение</w:t>
      </w:r>
      <w:proofErr w:type="spellEnd"/>
      <w:r>
        <w:t xml:space="preserve"> в контракт обязательных условий;</w:t>
      </w:r>
    </w:p>
    <w:p w:rsidR="00524E32" w:rsidRDefault="00524E32" w:rsidP="00524E32">
      <w:pPr>
        <w:pStyle w:val="a5"/>
        <w:numPr>
          <w:ilvl w:val="0"/>
          <w:numId w:val="3"/>
        </w:numPr>
        <w:jc w:val="both"/>
      </w:pPr>
      <w:r>
        <w:t>отсутствие надлежащего обеспечения гарантийных обязательств;</w:t>
      </w:r>
    </w:p>
    <w:p w:rsidR="00524E32" w:rsidRDefault="00524E32" w:rsidP="00524E32">
      <w:pPr>
        <w:pStyle w:val="a5"/>
        <w:numPr>
          <w:ilvl w:val="0"/>
          <w:numId w:val="3"/>
        </w:numPr>
        <w:spacing w:after="0"/>
        <w:jc w:val="both"/>
      </w:pPr>
      <w:r>
        <w:t>внесение изменений в контракт с нарушением требований, установленных законодательством Российской Федерации;</w:t>
      </w:r>
    </w:p>
    <w:p w:rsidR="00524E32" w:rsidRDefault="00524E32" w:rsidP="00524E32">
      <w:pPr>
        <w:pStyle w:val="a5"/>
        <w:numPr>
          <w:ilvl w:val="0"/>
          <w:numId w:val="3"/>
        </w:numPr>
        <w:spacing w:after="0"/>
        <w:jc w:val="both"/>
      </w:pPr>
      <w:r>
        <w:t xml:space="preserve">нарушение условий исполнения контрактов, в </w:t>
      </w:r>
      <w:proofErr w:type="spellStart"/>
      <w:r>
        <w:t>т.ч</w:t>
      </w:r>
      <w:proofErr w:type="spellEnd"/>
      <w:r>
        <w:t>. сроков исполнения, включая своевременность расчетов по контракту;</w:t>
      </w:r>
    </w:p>
    <w:p w:rsidR="00524E32" w:rsidRDefault="00524E32" w:rsidP="00524E32">
      <w:pPr>
        <w:pStyle w:val="a5"/>
        <w:numPr>
          <w:ilvl w:val="0"/>
          <w:numId w:val="3"/>
        </w:numPr>
        <w:spacing w:after="0"/>
        <w:jc w:val="both"/>
      </w:pPr>
      <w:r>
        <w:t>приемка и оплата поставленного товара, выполненной работы (ее результатов), оказанной услуги в случае несоответствия этих товара, работы, услуги либо результатов выполненных работ условиям контракта;</w:t>
      </w:r>
    </w:p>
    <w:p w:rsidR="00842AE2" w:rsidRPr="0007428A" w:rsidRDefault="00524E32" w:rsidP="00524E3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>
        <w:t>неприменение мер ответственности по контракту (отсутствуют взыскания неустойки (пени, штрафы) с недобросовестного поставщика (подрядчика, исполнителя)</w:t>
      </w:r>
      <w:r w:rsidR="0007428A" w:rsidRPr="0007428A">
        <w:t>.</w:t>
      </w:r>
      <w:proofErr w:type="gramEnd"/>
    </w:p>
    <w:p w:rsidR="00AA1631" w:rsidRPr="00842AE2" w:rsidRDefault="001E649D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lastRenderedPageBreak/>
        <w:t xml:space="preserve">С целью устранения и недопущения в дальнейшем выявленных в ходе проверки нарушений и недостатков в адрес </w:t>
      </w:r>
      <w:r w:rsidR="00524E32">
        <w:t>Кугультинского</w:t>
      </w:r>
      <w:r w:rsidR="00CE733C" w:rsidRPr="00842AE2">
        <w:t xml:space="preserve"> территориального управления администрации Грачевского муниципального округа Ставропольского края</w:t>
      </w:r>
      <w:r w:rsidRPr="00842AE2">
        <w:t xml:space="preserve"> направлен</w:t>
      </w:r>
      <w:r w:rsidR="00524E32">
        <w:t>ы</w:t>
      </w:r>
      <w:r w:rsidRPr="00842AE2">
        <w:t xml:space="preserve"> представлени</w:t>
      </w:r>
      <w:r w:rsidR="00524E32">
        <w:t>е и предписание</w:t>
      </w:r>
      <w:bookmarkStart w:id="0" w:name="_GoBack"/>
      <w:bookmarkEnd w:id="0"/>
      <w:r w:rsidRPr="00842AE2">
        <w:t xml:space="preserve"> Контрольно-счетной комиссии Грачевского муниципального округа Ставропольского края.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Предложения:</w:t>
      </w:r>
    </w:p>
    <w:p w:rsidR="007D4818" w:rsidRPr="00842AE2" w:rsidRDefault="00727B52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CD5B52" w:rsidRPr="00842AE2">
        <w:t>.</w:t>
      </w:r>
    </w:p>
    <w:sectPr w:rsidR="007D4818" w:rsidRPr="00842AE2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33404"/>
    <w:multiLevelType w:val="multilevel"/>
    <w:tmpl w:val="CEB6A40C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F40B26"/>
    <w:multiLevelType w:val="hybridMultilevel"/>
    <w:tmpl w:val="A710A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C613A1"/>
    <w:multiLevelType w:val="hybridMultilevel"/>
    <w:tmpl w:val="027A7652"/>
    <w:lvl w:ilvl="0" w:tplc="14D0F328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07428A"/>
    <w:rsid w:val="00096C0C"/>
    <w:rsid w:val="000A6318"/>
    <w:rsid w:val="000E081E"/>
    <w:rsid w:val="0018401F"/>
    <w:rsid w:val="001B7FDD"/>
    <w:rsid w:val="001E649D"/>
    <w:rsid w:val="00245714"/>
    <w:rsid w:val="003B3129"/>
    <w:rsid w:val="00462BE3"/>
    <w:rsid w:val="00524E32"/>
    <w:rsid w:val="00595F84"/>
    <w:rsid w:val="00682D6E"/>
    <w:rsid w:val="006A37C4"/>
    <w:rsid w:val="006B0CE4"/>
    <w:rsid w:val="00727B52"/>
    <w:rsid w:val="007D4818"/>
    <w:rsid w:val="00842AE2"/>
    <w:rsid w:val="008A0B2F"/>
    <w:rsid w:val="00AA1631"/>
    <w:rsid w:val="00AD359C"/>
    <w:rsid w:val="00C83E49"/>
    <w:rsid w:val="00CB1803"/>
    <w:rsid w:val="00CD5B52"/>
    <w:rsid w:val="00CE733C"/>
    <w:rsid w:val="00F0548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1"/>
    <w:link w:val="a8"/>
    <w:uiPriority w:val="99"/>
    <w:unhideWhenUsed/>
    <w:rsid w:val="00524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524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1"/>
    <w:link w:val="a8"/>
    <w:uiPriority w:val="99"/>
    <w:unhideWhenUsed/>
    <w:rsid w:val="00524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524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11</cp:revision>
  <dcterms:created xsi:type="dcterms:W3CDTF">2022-12-21T08:04:00Z</dcterms:created>
  <dcterms:modified xsi:type="dcterms:W3CDTF">2025-01-13T07:20:00Z</dcterms:modified>
</cp:coreProperties>
</file>