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отчет</w:t>
      </w:r>
    </w:p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 результатах контрольного мероприятия</w:t>
      </w:r>
    </w:p>
    <w:p w:rsidR="00F11FE4" w:rsidRDefault="00F11FE4" w:rsidP="00145D34">
      <w:pPr>
        <w:pStyle w:val="3"/>
        <w:spacing w:before="0" w:line="240" w:lineRule="auto"/>
        <w:ind w:left="284" w:right="-284"/>
        <w:jc w:val="center"/>
      </w:pP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>«Внешняя проверка годовой бюджетной отчетности отдела имущественных и земельных отношений администрации Грачевского муниципального района за 201</w:t>
      </w:r>
      <w:r w:rsidR="00987E5B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87E5B" w:rsidRPr="00987E5B">
        <w:rPr>
          <w:rFonts w:ascii="Times New Roman" w:hAnsi="Times New Roman" w:cs="Times New Roman"/>
          <w:sz w:val="28"/>
          <w:szCs w:val="28"/>
        </w:rPr>
        <w:t>2.8 раздела 2 Плана  работы  Контрольно-счетной комиссии  Грачевского муниципального района Ставропольского края на  2016 год, утвержденного приказом председателя Контрольно-счетной комиссии  Грачевского муниципального района Ставропольского края от 28.12.2015 № 69, приказ председателя Контрольно-счетной комиссии  Грачевского муниципального района Ставропольского края от 01 марта 2016 года № 11 «О проведении внешней проверки годовой бюджетной отчетности отдела имущественных и земельных</w:t>
      </w:r>
      <w:proofErr w:type="gramEnd"/>
      <w:r w:rsidR="00987E5B" w:rsidRPr="00987E5B">
        <w:rPr>
          <w:rFonts w:ascii="Times New Roman" w:hAnsi="Times New Roman" w:cs="Times New Roman"/>
          <w:sz w:val="28"/>
          <w:szCs w:val="28"/>
        </w:rPr>
        <w:t xml:space="preserve"> отношений».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отдела имущественных и земельных отношений администрации Грачевского муниципального района за 201</w:t>
      </w:r>
      <w:r w:rsidR="00987E5B">
        <w:rPr>
          <w:rFonts w:ascii="Times New Roman" w:hAnsi="Times New Roman" w:cs="Times New Roman"/>
          <w:sz w:val="28"/>
          <w:szCs w:val="28"/>
        </w:rPr>
        <w:t>5</w:t>
      </w:r>
      <w:r w:rsidRPr="00F11FE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4" w:rsidRP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E4">
        <w:rPr>
          <w:rFonts w:ascii="Times New Roman" w:hAnsi="Times New Roman" w:cs="Times New Roman"/>
          <w:sz w:val="28"/>
          <w:szCs w:val="28"/>
        </w:rPr>
        <w:t>3. Цель внешней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отдел имущественных и земельных отношений администрации  Грачевского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F11FE4" w:rsidRDefault="00F11FE4" w:rsidP="00145D34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987E5B">
        <w:rPr>
          <w:rFonts w:ascii="Times New Roman" w:hAnsi="Times New Roman" w:cs="Times New Roman"/>
          <w:sz w:val="28"/>
          <w:szCs w:val="28"/>
        </w:rPr>
        <w:t xml:space="preserve"> по 31 марта 2016 г</w:t>
      </w:r>
      <w:r w:rsidRPr="00575834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987E5B">
        <w:rPr>
          <w:rFonts w:ascii="Times New Roman" w:hAnsi="Times New Roman" w:cs="Times New Roman"/>
          <w:sz w:val="28"/>
          <w:szCs w:val="28"/>
        </w:rPr>
        <w:t>5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E05B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 (далее - ФЗ №131-ФЗ), отдел имущественных и земельных отношений является уполномоченным органом по владению, пользованию и распоряжению имуществом собственности Грачевского муниципального района.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E05B22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от 19.12.2014  № 120-III «О бюджете Грачевского  муниципального района Ставропольского  края на 201</w:t>
      </w:r>
      <w:r w:rsidR="00987E5B">
        <w:rPr>
          <w:rFonts w:ascii="Times New Roman" w:hAnsi="Times New Roman" w:cs="Times New Roman"/>
          <w:sz w:val="28"/>
          <w:szCs w:val="28"/>
        </w:rPr>
        <w:t>5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987E5B">
        <w:rPr>
          <w:rFonts w:ascii="Times New Roman" w:hAnsi="Times New Roman" w:cs="Times New Roman"/>
          <w:sz w:val="28"/>
          <w:szCs w:val="28"/>
        </w:rPr>
        <w:t>6</w:t>
      </w:r>
      <w:r w:rsidRPr="00E05B22">
        <w:rPr>
          <w:rFonts w:ascii="Times New Roman" w:hAnsi="Times New Roman" w:cs="Times New Roman"/>
          <w:sz w:val="28"/>
          <w:szCs w:val="28"/>
        </w:rPr>
        <w:t xml:space="preserve"> и 201</w:t>
      </w:r>
      <w:r w:rsidR="00987E5B">
        <w:rPr>
          <w:rFonts w:ascii="Times New Roman" w:hAnsi="Times New Roman" w:cs="Times New Roman"/>
          <w:sz w:val="28"/>
          <w:szCs w:val="28"/>
        </w:rPr>
        <w:t>7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годов» (далее – Решение № 120-III) Отдел имущественных и земельных отношений определен 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отчета. </w:t>
      </w:r>
      <w:proofErr w:type="gramEnd"/>
    </w:p>
    <w:p w:rsidR="001C71CA" w:rsidRPr="001C71CA" w:rsidRDefault="00E05B22" w:rsidP="001C71C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1C71CA" w:rsidRPr="001C71CA">
        <w:rPr>
          <w:sz w:val="28"/>
          <w:szCs w:val="28"/>
        </w:rPr>
        <w:t>Представленная годовая бюджетная отчетность об исполнении бюджета за 2015 год составлена в рублях с точностью до второго десятичного знака после запятой, в сброшюрованном виде с нумерацией страниц, отчетность подписана руководителем и главным бухгалтером, все обязательные реквизиты форм отчетности заполнены.</w:t>
      </w:r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7.4</w:t>
      </w:r>
      <w:r w:rsidRPr="001C71CA">
        <w:rPr>
          <w:rFonts w:ascii="Times New Roman" w:eastAsia="Times New Roman" w:hAnsi="Times New Roman" w:cs="Times New Roman"/>
          <w:sz w:val="28"/>
          <w:szCs w:val="28"/>
        </w:rPr>
        <w:t>. Достоверность представленной бюджетной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71CA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подтверждена данными Главной книги, материалами инвентаризации имущества и финансовых обязательств, другими регистрами бюджетного учета.</w:t>
      </w:r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1CA">
        <w:rPr>
          <w:rFonts w:ascii="Times New Roman" w:eastAsia="Times New Roman" w:hAnsi="Times New Roman" w:cs="Times New Roman"/>
          <w:sz w:val="28"/>
          <w:szCs w:val="28"/>
        </w:rPr>
        <w:t>Плановые показатели, указанные в бюджетной отчетности об исполнении бюджета за 2015 год соответствуют показателям сводной бюджетной росписи с учетом изменений, внесенных в ходе исполнения бюджета.</w:t>
      </w:r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Pr="001C71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C71CA">
        <w:rPr>
          <w:rFonts w:ascii="Times New Roman" w:eastAsia="Times New Roman" w:hAnsi="Times New Roman" w:cs="Times New Roman"/>
          <w:sz w:val="28"/>
          <w:szCs w:val="28"/>
        </w:rPr>
        <w:t>Не представлены формы  №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№ 0503175 «Сведения о принятых и неисполненных обязательствах получателя бюджетных средств», № 0503178 «Сведения об остатках денежных средств на счетах получателей бюджетных средств», № 0503296 «Сведения об исполнении судебных решений по денежным обязательствам бюджета» и в разделе 5 Пояснительной</w:t>
      </w:r>
      <w:proofErr w:type="gramEnd"/>
      <w:r w:rsidRPr="001C71CA">
        <w:rPr>
          <w:rFonts w:ascii="Times New Roman" w:eastAsia="Times New Roman" w:hAnsi="Times New Roman" w:cs="Times New Roman"/>
          <w:sz w:val="28"/>
          <w:szCs w:val="28"/>
        </w:rPr>
        <w:t xml:space="preserve"> записки (ф. 0503160) не включены в перечень не представленных в составе отчета документов.</w:t>
      </w:r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1CA">
        <w:rPr>
          <w:rFonts w:ascii="Times New Roman" w:eastAsia="Times New Roman" w:hAnsi="Times New Roman" w:cs="Times New Roman"/>
          <w:sz w:val="28"/>
          <w:szCs w:val="28"/>
        </w:rPr>
        <w:t>Форма Отчета о бюджетных обязательствах (ф. 0503128)  не соответствует Инструкции №  191н.</w:t>
      </w:r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1C71CA">
        <w:rPr>
          <w:rFonts w:ascii="Times New Roman" w:eastAsia="Times New Roman" w:hAnsi="Times New Roman" w:cs="Times New Roman"/>
          <w:sz w:val="28"/>
          <w:szCs w:val="28"/>
        </w:rPr>
        <w:t>. Проверкой содержания, полноты, сопоставимости показателей представленной годовой отчетности  установлено:</w:t>
      </w:r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1CA">
        <w:rPr>
          <w:rFonts w:ascii="Times New Roman" w:eastAsia="Times New Roman" w:hAnsi="Times New Roman" w:cs="Times New Roman"/>
          <w:sz w:val="28"/>
          <w:szCs w:val="28"/>
        </w:rPr>
        <w:t>Проверкой содержания, полноты, сопоставимости показателей представленной годовой отчетности  установлено:</w:t>
      </w:r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1CA">
        <w:rPr>
          <w:rFonts w:ascii="Times New Roman" w:eastAsia="Times New Roman" w:hAnsi="Times New Roman" w:cs="Times New Roman"/>
          <w:sz w:val="28"/>
          <w:szCs w:val="28"/>
        </w:rPr>
        <w:t xml:space="preserve">1)  в нарушение требований пункта 163 Инструкции № 191н данные по строке  010 графы 3, 5, строкам 450, 500 графы 5 формы 0503164 «Сведения об исполнении бюджета» не соответствует данным аналогичных строк Отчета (ф. 0503127). Соответственно показатели исполнения бюджета по графам 6 и 7 строки 010 посчитаны неверно. </w:t>
      </w:r>
    </w:p>
    <w:p w:rsidR="001C71CA" w:rsidRPr="001C71CA" w:rsidRDefault="00C63408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C71CA" w:rsidRPr="001C71CA">
        <w:rPr>
          <w:rFonts w:ascii="Times New Roman" w:eastAsia="Times New Roman" w:hAnsi="Times New Roman" w:cs="Times New Roman"/>
          <w:sz w:val="28"/>
          <w:szCs w:val="28"/>
        </w:rPr>
        <w:t>) в нарушение требований пунктов 29, 31, 32 Инструкции 191н в Справке по консолидируемым расчетам ф.0503125:</w:t>
      </w:r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1CA">
        <w:rPr>
          <w:rFonts w:ascii="Times New Roman" w:eastAsia="Times New Roman" w:hAnsi="Times New Roman" w:cs="Times New Roman"/>
          <w:sz w:val="28"/>
          <w:szCs w:val="28"/>
        </w:rPr>
        <w:t>-  по счету 1.401.10.151 в графе 4 указаны неверно коды по ОКТМО контрагентов;</w:t>
      </w:r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1CA">
        <w:rPr>
          <w:rFonts w:ascii="Times New Roman" w:eastAsia="Times New Roman" w:hAnsi="Times New Roman" w:cs="Times New Roman"/>
          <w:sz w:val="28"/>
          <w:szCs w:val="28"/>
        </w:rPr>
        <w:t xml:space="preserve">- по счету 1.401.20.241 форма Справки не соответствует Инструкции № 191н. </w:t>
      </w:r>
      <w:proofErr w:type="gramStart"/>
      <w:r w:rsidRPr="001C71CA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29 Инструкции № 191н в форме не указан ИНН контрагента,  но при этом заполнены код по ОКТМО и код элемента бюджета, которые согласно Инструкции не заполняются по счету 1.401.20.241; </w:t>
      </w:r>
      <w:proofErr w:type="gramEnd"/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1CA">
        <w:rPr>
          <w:rFonts w:ascii="Times New Roman" w:eastAsia="Times New Roman" w:hAnsi="Times New Roman" w:cs="Times New Roman"/>
          <w:sz w:val="28"/>
          <w:szCs w:val="28"/>
        </w:rPr>
        <w:t xml:space="preserve">- по счету 1.401.20.251 в графах 3, 4, 5 указаны неверно код главы по БК, коды по ОКТМО поселений, код элемента бюджета. В графе 2 не по всем контрагентам </w:t>
      </w:r>
      <w:proofErr w:type="gramStart"/>
      <w:r w:rsidRPr="001C71CA">
        <w:rPr>
          <w:rFonts w:ascii="Times New Roman" w:eastAsia="Times New Roman" w:hAnsi="Times New Roman" w:cs="Times New Roman"/>
          <w:sz w:val="28"/>
          <w:szCs w:val="28"/>
        </w:rPr>
        <w:t>указан</w:t>
      </w:r>
      <w:proofErr w:type="gramEnd"/>
      <w:r w:rsidRPr="001C71CA">
        <w:rPr>
          <w:rFonts w:ascii="Times New Roman" w:eastAsia="Times New Roman" w:hAnsi="Times New Roman" w:cs="Times New Roman"/>
          <w:sz w:val="28"/>
          <w:szCs w:val="28"/>
        </w:rPr>
        <w:t xml:space="preserve"> ИНН.</w:t>
      </w:r>
    </w:p>
    <w:p w:rsidR="001C71CA" w:rsidRPr="001C71CA" w:rsidRDefault="00C63408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C71CA" w:rsidRPr="001C71CA">
        <w:rPr>
          <w:rFonts w:ascii="Times New Roman" w:eastAsia="Times New Roman" w:hAnsi="Times New Roman" w:cs="Times New Roman"/>
          <w:sz w:val="28"/>
          <w:szCs w:val="28"/>
        </w:rPr>
        <w:t xml:space="preserve">) в нарушение принципа  сопоставимости показателей документов годовой бюджетной отчетности в Справке по консолидируемым расчетам (ф. 0503125) по счету 1 401 20 241 итоговая сумма по счету составила 187410,46 рублей, что не подтверждается данными Справки по заключению счетов </w:t>
      </w:r>
      <w:r w:rsidR="001C71CA" w:rsidRPr="001C71CA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бюджетного учета отчетного финансового года (ф.0503110) и Отчета о финансовых результатах деятельности (ф.0503121).</w:t>
      </w:r>
      <w:proofErr w:type="gramEnd"/>
      <w:r w:rsidR="001C71CA" w:rsidRPr="001C71CA">
        <w:rPr>
          <w:rFonts w:ascii="Times New Roman" w:eastAsia="Times New Roman" w:hAnsi="Times New Roman" w:cs="Times New Roman"/>
          <w:sz w:val="28"/>
          <w:szCs w:val="28"/>
        </w:rPr>
        <w:t xml:space="preserve"> Установлен факт недостоверного составления и представления бюджетной отчетности на сумму 74437,02 рублей;</w:t>
      </w:r>
    </w:p>
    <w:p w:rsidR="001C71CA" w:rsidRPr="001C71CA" w:rsidRDefault="00C63408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C71CA" w:rsidRPr="001C71CA">
        <w:rPr>
          <w:rFonts w:ascii="Times New Roman" w:eastAsia="Times New Roman" w:hAnsi="Times New Roman" w:cs="Times New Roman"/>
          <w:sz w:val="28"/>
          <w:szCs w:val="28"/>
        </w:rPr>
        <w:t>) в составе Пояснительной записки ф. 0503160 представлена таблица № 2 «Сведения о мерах по повышению эффективности расходования бюджетных средств», однако из данных таблицы не ясно, какие конкретно меры по повышению эффективности приняты в Отделе имущественных и земельных отношений;</w:t>
      </w:r>
    </w:p>
    <w:p w:rsidR="001C71CA" w:rsidRPr="001C71CA" w:rsidRDefault="00C63408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C71CA" w:rsidRPr="001C71CA">
        <w:rPr>
          <w:rFonts w:ascii="Times New Roman" w:eastAsia="Times New Roman" w:hAnsi="Times New Roman" w:cs="Times New Roman"/>
          <w:sz w:val="28"/>
          <w:szCs w:val="28"/>
        </w:rPr>
        <w:t xml:space="preserve">) в нарушение пункта 157 Инструкции № 191н Таблица № 5 «Сведения о результатах мероприятий внутреннего государственного (муниципального) финансового  контроля»  заполнена неверно; </w:t>
      </w:r>
    </w:p>
    <w:p w:rsidR="001C71CA" w:rsidRPr="001C71CA" w:rsidRDefault="00C63408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C71CA" w:rsidRPr="001C71CA">
        <w:rPr>
          <w:rFonts w:ascii="Times New Roman" w:eastAsia="Times New Roman" w:hAnsi="Times New Roman" w:cs="Times New Roman"/>
          <w:sz w:val="28"/>
          <w:szCs w:val="28"/>
        </w:rPr>
        <w:t xml:space="preserve">)  в составе Пояснительной записки ф. 0503160 представлена таблица № 7 «Сведения о результатах внешних контрольных мероприятий», в которой отражены не все мероприятия, проведенные Контрольно-счетной комиссией. </w:t>
      </w:r>
      <w:proofErr w:type="gramEnd"/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1CA">
        <w:rPr>
          <w:rFonts w:ascii="Times New Roman" w:eastAsia="Times New Roman" w:hAnsi="Times New Roman" w:cs="Times New Roman"/>
          <w:sz w:val="28"/>
          <w:szCs w:val="28"/>
        </w:rPr>
        <w:t>В результате проверки остальных документов годовой бюджетной отчетности  Отдела имущественных и земельных отношений нарушений не установлено.</w:t>
      </w:r>
    </w:p>
    <w:p w:rsidR="001C71CA" w:rsidRPr="001C71CA" w:rsidRDefault="001C71CA" w:rsidP="001C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7.7</w:t>
      </w: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доходам уточненный план составил </w:t>
      </w:r>
      <w:r w:rsidRPr="001C71C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10102,60 </w:t>
      </w: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рублей. Поступление доходов за отчетный период составило </w:t>
      </w:r>
      <w:r w:rsidRPr="001C71C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16341,06  тыс. рублей или 161,75 процентов.</w:t>
      </w:r>
    </w:p>
    <w:p w:rsidR="001C71CA" w:rsidRPr="001C71CA" w:rsidRDefault="001C71CA" w:rsidP="001C71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расходам уточненный план составил </w:t>
      </w:r>
      <w:r w:rsidRPr="001C71C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3286,98 тыс. рублей, исполнено 3211,84 тыс. рублей или 97,71 процентов. Неисполнение составило 75,14 тыс. рублей. </w:t>
      </w:r>
    </w:p>
    <w:p w:rsidR="001C71CA" w:rsidRPr="001C71CA" w:rsidRDefault="001C71CA" w:rsidP="001C71CA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7.8</w:t>
      </w: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Дебиторская задолженность по расчетам по платежам в бюджеты составила 6070,56 рублей.</w:t>
      </w:r>
    </w:p>
    <w:p w:rsidR="001C71CA" w:rsidRPr="001C71CA" w:rsidRDefault="001C71CA" w:rsidP="001C71CA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Дебиторская и кредиторская задолженность по расчетам с поставщиками и подрядчиками по состоянию на 01.01.2016 года отсутствует, что подтверждено данными главной книги. </w:t>
      </w:r>
    </w:p>
    <w:p w:rsidR="001C71CA" w:rsidRPr="001C71CA" w:rsidRDefault="001C71CA" w:rsidP="001C71CA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7.9</w:t>
      </w: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 отчетном периоде отдел имущественных и земельных отношений не принимал участие в реализации мероприятий муниципальных целевых программ.</w:t>
      </w:r>
    </w:p>
    <w:p w:rsidR="00E05B22" w:rsidRDefault="001C71CA" w:rsidP="00145D3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7.10</w:t>
      </w: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Таким образом, всего в ходе проверки выявлено нарушений при составлении бюджетной и бухгалтерской отчетности за 2015 год в сумме 80,51 тыс. рублей.</w:t>
      </w:r>
    </w:p>
    <w:p w:rsidR="001C71CA" w:rsidRDefault="00E05B22" w:rsidP="001C71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C71CA"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результатам проведенной внешней проверки бюджетной отчетности отдела имущественных и земельных отношений администрации Грачевского муниципального района за 2015 год Контрольно-счетная комиссия считает, что представленная отчетность содержит достаточно полную, но не достаточно достоверную информацию, </w:t>
      </w:r>
      <w:r w:rsidR="001C71CA" w:rsidRPr="001C71C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необходимую внешним пользователям отчетности о деятельности </w:t>
      </w:r>
      <w:r w:rsidR="001C71CA"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отдела имущественных и земельных отношений</w:t>
      </w:r>
      <w:r w:rsidR="001C71CA" w:rsidRPr="001C71C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. </w:t>
      </w:r>
      <w:r w:rsidR="001C71CA"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отдела имущественных и земельных отношений за 2015 год Контрольно-счетная комиссия рекомендует:</w:t>
      </w:r>
    </w:p>
    <w:p w:rsidR="001C71CA" w:rsidRPr="001C71CA" w:rsidRDefault="001C71CA" w:rsidP="001C71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1.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1C71CA" w:rsidRPr="001C71CA" w:rsidRDefault="001C71CA" w:rsidP="001C71CA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Отражать в формах годовой  отчетности более полную и достоверную информацию об исполнении доходной и расходной части бюджета, о дебиторской (кредиторской) задолженности, соблюдать сопоставимость показателей представленных документов.</w:t>
      </w:r>
    </w:p>
    <w:p w:rsidR="001C71CA" w:rsidRPr="001C71CA" w:rsidRDefault="001C71CA" w:rsidP="001C71CA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Проводить инвентаризацию имущества и финансовых обязательств и оформлять ее результаты  строго в соответствии с приказом  Минфина РФ от 13.06.2015 № 49 «Об утверждении методических указаний по инвентаризации имущества и финансовых обязательств».</w:t>
      </w:r>
    </w:p>
    <w:p w:rsidR="001C71CA" w:rsidRPr="001C71CA" w:rsidRDefault="001C71CA" w:rsidP="001C71CA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C71CA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 Усилить внутренний финансовый </w:t>
      </w:r>
      <w:proofErr w:type="gramStart"/>
      <w:r w:rsidRPr="001C71CA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контроль за</w:t>
      </w:r>
      <w:proofErr w:type="gramEnd"/>
      <w:r w:rsidRPr="001C71CA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</w:p>
    <w:p w:rsidR="00A21441" w:rsidRDefault="001C71CA" w:rsidP="00145D3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2015 год.</w:t>
      </w:r>
    </w:p>
    <w:p w:rsidR="00A21441" w:rsidRDefault="00A21441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1441" w:rsidSect="00145D34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145D34"/>
    <w:rsid w:val="001C71CA"/>
    <w:rsid w:val="008B218A"/>
    <w:rsid w:val="00987E5B"/>
    <w:rsid w:val="00A21441"/>
    <w:rsid w:val="00A96A05"/>
    <w:rsid w:val="00C63408"/>
    <w:rsid w:val="00DA4FE4"/>
    <w:rsid w:val="00E05B22"/>
    <w:rsid w:val="00F11FE4"/>
    <w:rsid w:val="00F4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2016-04-07T11:46:00Z</cp:lastPrinted>
  <dcterms:created xsi:type="dcterms:W3CDTF">2016-05-13T12:18:00Z</dcterms:created>
  <dcterms:modified xsi:type="dcterms:W3CDTF">2016-05-13T12:18:00Z</dcterms:modified>
</cp:coreProperties>
</file>