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44" w:rsidRPr="00764444" w:rsidRDefault="00764444" w:rsidP="00764444">
      <w:pPr>
        <w:keepNext/>
        <w:keepLines/>
        <w:spacing w:after="0" w:line="240" w:lineRule="auto"/>
        <w:ind w:left="284" w:right="-284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764444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Отчет </w:t>
      </w:r>
    </w:p>
    <w:p w:rsidR="00764444" w:rsidRPr="00764444" w:rsidRDefault="00764444" w:rsidP="00764444">
      <w:pPr>
        <w:keepNext/>
        <w:keepLines/>
        <w:spacing w:after="0" w:line="240" w:lineRule="auto"/>
        <w:ind w:left="284" w:right="-284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764444">
        <w:rPr>
          <w:rFonts w:ascii="Times New Roman" w:eastAsiaTheme="majorEastAsia" w:hAnsi="Times New Roman" w:cs="Times New Roman"/>
          <w:b/>
          <w:bCs/>
          <w:sz w:val="28"/>
          <w:szCs w:val="28"/>
        </w:rPr>
        <w:t>по результатам контрольного мероприятия</w:t>
      </w:r>
    </w:p>
    <w:p w:rsidR="00F11FE4" w:rsidRPr="00764444" w:rsidRDefault="00F11FE4" w:rsidP="00764444">
      <w:pPr>
        <w:pStyle w:val="3"/>
        <w:spacing w:before="0" w:line="240" w:lineRule="auto"/>
        <w:ind w:left="284" w:right="-284"/>
        <w:jc w:val="center"/>
      </w:pPr>
      <w:r w:rsidRPr="00764444">
        <w:rPr>
          <w:rFonts w:ascii="Times New Roman" w:hAnsi="Times New Roman" w:cs="Times New Roman"/>
          <w:color w:val="auto"/>
          <w:sz w:val="28"/>
          <w:szCs w:val="28"/>
        </w:rPr>
        <w:t xml:space="preserve">«Внешняя проверка годовой бюджетной отчетности </w:t>
      </w:r>
      <w:r w:rsidR="00DB2B91" w:rsidRPr="00764444">
        <w:rPr>
          <w:rFonts w:ascii="Times New Roman" w:hAnsi="Times New Roman" w:cs="Times New Roman"/>
          <w:color w:val="auto"/>
          <w:sz w:val="28"/>
          <w:szCs w:val="28"/>
        </w:rPr>
        <w:t>управления труда и социальной защиты населения администрации Грачевского муниципального района за 201</w:t>
      </w:r>
      <w:r w:rsidR="00764444" w:rsidRPr="00764444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B2B91" w:rsidRPr="00764444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Pr="00764444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E21651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CE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F23CE5">
        <w:rPr>
          <w:rFonts w:ascii="Times New Roman" w:hAnsi="Times New Roman" w:cs="Times New Roman"/>
          <w:sz w:val="28"/>
          <w:szCs w:val="28"/>
        </w:rPr>
        <w:t>Основание для проведения контрольного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FE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64444" w:rsidRPr="00764444">
        <w:rPr>
          <w:rFonts w:ascii="Times New Roman" w:hAnsi="Times New Roman" w:cs="Times New Roman"/>
          <w:sz w:val="28"/>
          <w:szCs w:val="28"/>
        </w:rPr>
        <w:t>2.1 раздела 2 Плана  работы  Контрольно-счетной комиссии  Грачевского муниципального района Ставропольского края на 2017 год, утвержденного приказом председателя Контрольно-счетной комиссии  Грачевского муниципального района Ставропольского края от 28.12.2016 № 67, приказ председателя Контрольно-счетной комиссии Грачевского муниципального района Ставропольского края от 01 марта 2017 года № 13 «О проведении внешней проверки годовой бюджетной отчетности Управления труда и социальной</w:t>
      </w:r>
      <w:proofErr w:type="gramEnd"/>
      <w:r w:rsidR="00764444" w:rsidRPr="00764444">
        <w:rPr>
          <w:rFonts w:ascii="Times New Roman" w:hAnsi="Times New Roman" w:cs="Times New Roman"/>
          <w:sz w:val="28"/>
          <w:szCs w:val="28"/>
        </w:rPr>
        <w:t xml:space="preserve"> защиты населения».</w:t>
      </w:r>
    </w:p>
    <w:p w:rsid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11FE4">
        <w:rPr>
          <w:rFonts w:ascii="Times New Roman" w:hAnsi="Times New Roman" w:cs="Times New Roman"/>
          <w:sz w:val="28"/>
          <w:szCs w:val="28"/>
        </w:rPr>
        <w:t>Предмет контрольного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годовая</w:t>
      </w:r>
      <w:r w:rsidRPr="00F11FE4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11FE4">
        <w:rPr>
          <w:rFonts w:ascii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1FE4">
        <w:rPr>
          <w:rFonts w:ascii="Times New Roman" w:hAnsi="Times New Roman" w:cs="Times New Roman"/>
          <w:sz w:val="28"/>
          <w:szCs w:val="28"/>
        </w:rPr>
        <w:t xml:space="preserve"> </w:t>
      </w:r>
      <w:r w:rsidR="00DB2B91" w:rsidRPr="00DB2B91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 администрации Грачевского муниципального района за 201</w:t>
      </w:r>
      <w:r w:rsidR="00764444">
        <w:rPr>
          <w:rFonts w:ascii="Times New Roman" w:hAnsi="Times New Roman" w:cs="Times New Roman"/>
          <w:sz w:val="28"/>
          <w:szCs w:val="28"/>
        </w:rPr>
        <w:t>6</w:t>
      </w:r>
      <w:r w:rsidR="00DB2B91" w:rsidRPr="00DB2B9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7F5" w:rsidRPr="00A267F5" w:rsidRDefault="00A267F5" w:rsidP="00A26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267F5">
        <w:rPr>
          <w:rFonts w:ascii="Times New Roman" w:hAnsi="Times New Roman" w:cs="Times New Roman"/>
          <w:sz w:val="28"/>
          <w:szCs w:val="28"/>
        </w:rPr>
        <w:t>.  Объекты проверки: управление труда и социальной защиты населения администрации Грачевского муниципального района Ставропольского края.</w:t>
      </w:r>
    </w:p>
    <w:p w:rsidR="00A267F5" w:rsidRDefault="00A267F5" w:rsidP="00A26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67F5">
        <w:rPr>
          <w:rFonts w:ascii="Times New Roman" w:hAnsi="Times New Roman" w:cs="Times New Roman"/>
          <w:sz w:val="28"/>
          <w:szCs w:val="28"/>
        </w:rPr>
        <w:t>. Срок проведения контрольного мероприятия с 02  по 31 марта 2017 г.</w:t>
      </w:r>
    </w:p>
    <w:p w:rsidR="00F11FE4" w:rsidRPr="00F11FE4" w:rsidRDefault="00A267F5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1FE4" w:rsidRPr="00F11FE4">
        <w:rPr>
          <w:rFonts w:ascii="Times New Roman" w:hAnsi="Times New Roman" w:cs="Times New Roman"/>
          <w:sz w:val="28"/>
          <w:szCs w:val="28"/>
        </w:rPr>
        <w:t>. Цель внешней проверки:</w:t>
      </w:r>
      <w:r w:rsidR="00F11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FE4">
        <w:rPr>
          <w:rFonts w:ascii="Times New Roman" w:hAnsi="Times New Roman" w:cs="Times New Roman"/>
          <w:sz w:val="28"/>
          <w:szCs w:val="28"/>
        </w:rPr>
        <w:t xml:space="preserve"> установление полноты представленной бюджетной отчетности, ее соответствие установленным требованиям;</w:t>
      </w:r>
    </w:p>
    <w:p w:rsid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FE4">
        <w:rPr>
          <w:rFonts w:ascii="Times New Roman" w:hAnsi="Times New Roman" w:cs="Times New Roman"/>
          <w:sz w:val="28"/>
          <w:szCs w:val="28"/>
        </w:rPr>
        <w:t xml:space="preserve"> оценка достоверности показателей представленной отчетности.</w:t>
      </w:r>
    </w:p>
    <w:p w:rsidR="00E05B22" w:rsidRDefault="00E05B22" w:rsidP="00DB2B91">
      <w:pPr>
        <w:spacing w:after="0" w:line="240" w:lineRule="auto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E05B22">
        <w:rPr>
          <w:rFonts w:ascii="Times New Roman" w:hAnsi="Times New Roman" w:cs="Times New Roman"/>
          <w:sz w:val="28"/>
          <w:szCs w:val="28"/>
        </w:rPr>
        <w:t>6. Проверяемый период деятельности: 201</w:t>
      </w:r>
      <w:r w:rsidR="00764444">
        <w:rPr>
          <w:rFonts w:ascii="Times New Roman" w:hAnsi="Times New Roman" w:cs="Times New Roman"/>
          <w:sz w:val="28"/>
          <w:szCs w:val="28"/>
        </w:rPr>
        <w:t>6</w:t>
      </w:r>
      <w:r w:rsidRPr="00E05B2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845E8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DB2B91" w:rsidRPr="00DB2B9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 основным направлением деятельности Управления труда и социальной защиты населения администрации  Грачевского муниципального района Ставропольского края является проведение единой политики в области труда и социальной защиты населения в Грачевском районе</w:t>
      </w:r>
      <w:r w:rsidRPr="00E05B22">
        <w:rPr>
          <w:rFonts w:ascii="Times New Roman" w:hAnsi="Times New Roman" w:cs="Times New Roman"/>
          <w:sz w:val="28"/>
          <w:szCs w:val="28"/>
        </w:rPr>
        <w:t>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DB2B91" w:rsidRPr="00DB2B91">
        <w:rPr>
          <w:rFonts w:ascii="Times New Roman" w:hAnsi="Times New Roman" w:cs="Times New Roman"/>
          <w:sz w:val="28"/>
          <w:szCs w:val="28"/>
        </w:rPr>
        <w:t xml:space="preserve">Решением Совета Грачевского муниципального района Ставропольского края </w:t>
      </w:r>
      <w:r w:rsidR="00764444" w:rsidRPr="00764444">
        <w:rPr>
          <w:rFonts w:ascii="Times New Roman" w:hAnsi="Times New Roman" w:cs="Times New Roman"/>
          <w:sz w:val="28"/>
          <w:szCs w:val="28"/>
        </w:rPr>
        <w:t>от 22.12.2015  № 185-III «О бюджете Грачевского муниципального района Ставропольского края на 2016 год»</w:t>
      </w:r>
      <w:r w:rsidR="00DB2B91" w:rsidRPr="00DB2B91">
        <w:rPr>
          <w:rFonts w:ascii="Times New Roman" w:hAnsi="Times New Roman" w:cs="Times New Roman"/>
          <w:sz w:val="28"/>
          <w:szCs w:val="28"/>
        </w:rPr>
        <w:t xml:space="preserve"> </w:t>
      </w:r>
      <w:r w:rsidR="002E1815" w:rsidRPr="00DB2B91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DB2B91" w:rsidRPr="00DB2B91">
        <w:rPr>
          <w:rFonts w:ascii="Times New Roman" w:hAnsi="Times New Roman" w:cs="Times New Roman"/>
          <w:sz w:val="28"/>
          <w:szCs w:val="28"/>
        </w:rPr>
        <w:t>труда и социальной защиты населения определено  главным администратором доходов бюджета Грачевского муниципального района Ставропольского края  и главным распорядителем средств районного бюджета, что соответствует данным годового отчета</w:t>
      </w:r>
      <w:r w:rsidRPr="00E05B22">
        <w:rPr>
          <w:rFonts w:ascii="Times New Roman" w:hAnsi="Times New Roman" w:cs="Times New Roman"/>
          <w:sz w:val="28"/>
          <w:szCs w:val="28"/>
        </w:rPr>
        <w:t>.</w:t>
      </w:r>
    </w:p>
    <w:p w:rsidR="00764444" w:rsidRPr="00764444" w:rsidRDefault="00E05B22" w:rsidP="0076444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764444" w:rsidRPr="00764444">
        <w:rPr>
          <w:sz w:val="28"/>
          <w:szCs w:val="28"/>
        </w:rPr>
        <w:t>Годовая бюджетная отчетность об исполнении бюджета за 2016 год представлена в сброшюрованном виде с нумерацией страниц, подписана руководителем и главным бухгалтером, все обязательные реквизиты форм отчетности заполнены.</w:t>
      </w:r>
    </w:p>
    <w:p w:rsidR="00764444" w:rsidRPr="00764444" w:rsidRDefault="00764444" w:rsidP="00764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7.4</w:t>
      </w:r>
      <w:r w:rsidRPr="00764444">
        <w:rPr>
          <w:rFonts w:ascii="Times New Roman" w:eastAsia="Times New Roman" w:hAnsi="Times New Roman" w:cs="Times New Roman"/>
          <w:sz w:val="28"/>
          <w:szCs w:val="28"/>
        </w:rPr>
        <w:t xml:space="preserve">. Плановые показатели по доходам не в полной мере соответствуют показателям кассового плана по доходам. </w:t>
      </w:r>
    </w:p>
    <w:p w:rsidR="00764444" w:rsidRPr="00764444" w:rsidRDefault="00764444" w:rsidP="00764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7.5</w:t>
      </w:r>
      <w:r w:rsidRPr="00764444">
        <w:rPr>
          <w:rFonts w:ascii="Times New Roman" w:eastAsia="Times New Roman" w:hAnsi="Times New Roman" w:cs="Times New Roman"/>
          <w:sz w:val="28"/>
          <w:szCs w:val="28"/>
        </w:rPr>
        <w:t>. Плановые показатели по расходам, указанные в бюджетной отчетности об исполнении бюджета за 2016 год соответствуют показателям сводной бюджетной росписи с учетом изменений, внесенных в ходе исполнения бюджета.</w:t>
      </w:r>
    </w:p>
    <w:p w:rsidR="00764444" w:rsidRPr="00764444" w:rsidRDefault="00764444" w:rsidP="00764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7.6</w:t>
      </w:r>
      <w:r w:rsidRPr="00764444">
        <w:rPr>
          <w:rFonts w:ascii="Times New Roman" w:eastAsia="Times New Roman" w:hAnsi="Times New Roman" w:cs="Times New Roman"/>
          <w:sz w:val="28"/>
          <w:szCs w:val="28"/>
        </w:rPr>
        <w:t>. 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764444" w:rsidRPr="00764444" w:rsidRDefault="00764444" w:rsidP="00764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7.7</w:t>
      </w:r>
      <w:r w:rsidRPr="00764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Проверкой установлено, что Учреждением не представлена форма  № 0503296 «Сведения об исполнении судебных решений по денежным обязательствам бюджета»  и в разделе 5 Пояснительной записки (ф. 0503160) не включена в перечень не представленных в составе отчета документов</w:t>
      </w:r>
      <w:r w:rsidRPr="007644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4444" w:rsidRPr="00764444" w:rsidRDefault="00764444" w:rsidP="00764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7.8</w:t>
      </w:r>
      <w:r w:rsidRPr="00764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764444">
        <w:rPr>
          <w:rFonts w:ascii="Times New Roman" w:eastAsia="Times New Roman" w:hAnsi="Times New Roman" w:cs="Times New Roman"/>
          <w:sz w:val="28"/>
          <w:szCs w:val="28"/>
        </w:rPr>
        <w:t>Проверкой содержания, полноты, сопоставимости показателей представленной годовой отчетности  установлено:</w:t>
      </w:r>
    </w:p>
    <w:p w:rsidR="00764444" w:rsidRPr="00764444" w:rsidRDefault="00764444" w:rsidP="00764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64444">
        <w:rPr>
          <w:rFonts w:ascii="Times New Roman" w:eastAsia="Times New Roman" w:hAnsi="Times New Roman" w:cs="Times New Roman"/>
          <w:sz w:val="28"/>
          <w:szCs w:val="28"/>
        </w:rPr>
        <w:t xml:space="preserve"> в графе 9 раздела 1 Отчета (ф. 0503127) по кодам доходов 50920203024000000151 и 50920203024050000151 вместо цифры «4,52» следовало отразить «-112,01»;</w:t>
      </w:r>
    </w:p>
    <w:p w:rsidR="00764444" w:rsidRPr="00764444" w:rsidRDefault="00764444" w:rsidP="00764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64444">
        <w:rPr>
          <w:rFonts w:ascii="Times New Roman" w:eastAsia="Times New Roman" w:hAnsi="Times New Roman" w:cs="Times New Roman"/>
          <w:sz w:val="28"/>
          <w:szCs w:val="28"/>
        </w:rPr>
        <w:t xml:space="preserve"> в графе 4 Справки о наличии имущества и обязательств на </w:t>
      </w:r>
      <w:proofErr w:type="spellStart"/>
      <w:r w:rsidRPr="00764444">
        <w:rPr>
          <w:rFonts w:ascii="Times New Roman" w:eastAsia="Times New Roman" w:hAnsi="Times New Roman" w:cs="Times New Roman"/>
          <w:sz w:val="28"/>
          <w:szCs w:val="28"/>
        </w:rPr>
        <w:t>забалансовых</w:t>
      </w:r>
      <w:proofErr w:type="spellEnd"/>
      <w:r w:rsidRPr="00764444">
        <w:rPr>
          <w:rFonts w:ascii="Times New Roman" w:eastAsia="Times New Roman" w:hAnsi="Times New Roman" w:cs="Times New Roman"/>
          <w:sz w:val="28"/>
          <w:szCs w:val="28"/>
        </w:rPr>
        <w:t xml:space="preserve"> счетах на начало года в стоке 280 по счету 30 «Расчеты по исполнению денежных обязательств через третьих лиц» отражен остаток 24428,41. Согласно данным бюджетной отчетности УТСЗН за 2015 год </w:t>
      </w:r>
      <w:proofErr w:type="gramStart"/>
      <w:r w:rsidRPr="00764444">
        <w:rPr>
          <w:rFonts w:ascii="Times New Roman" w:eastAsia="Times New Roman" w:hAnsi="Times New Roman" w:cs="Times New Roman"/>
          <w:sz w:val="28"/>
          <w:szCs w:val="28"/>
        </w:rPr>
        <w:t>на конец</w:t>
      </w:r>
      <w:proofErr w:type="gramEnd"/>
      <w:r w:rsidRPr="00764444">
        <w:rPr>
          <w:rFonts w:ascii="Times New Roman" w:eastAsia="Times New Roman" w:hAnsi="Times New Roman" w:cs="Times New Roman"/>
          <w:sz w:val="28"/>
          <w:szCs w:val="28"/>
        </w:rPr>
        <w:t xml:space="preserve"> 2015 года остаток по счету 30 составил 4858,39. Таким образом, расхождения составили 19570,02;</w:t>
      </w:r>
    </w:p>
    <w:p w:rsidR="00764444" w:rsidRPr="00764444" w:rsidRDefault="00764444" w:rsidP="00764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64444"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пункта 158 Инструкции № 191н Таблица № 6 «Сведения о проведении инвентаризации» заполнена неверно. </w:t>
      </w:r>
    </w:p>
    <w:p w:rsidR="00764444" w:rsidRPr="00764444" w:rsidRDefault="00764444" w:rsidP="00764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444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.9</w:t>
      </w:r>
      <w:r w:rsidRPr="00764444">
        <w:rPr>
          <w:rFonts w:ascii="Times New Roman" w:eastAsia="Times New Roman" w:hAnsi="Times New Roman" w:cs="Times New Roman"/>
          <w:sz w:val="28"/>
          <w:szCs w:val="28"/>
        </w:rPr>
        <w:t>. Установлено несоответствие графы 4 раздела 1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 показателям кассового плана по доходам с учетом изменений по двум кодам доходов.</w:t>
      </w:r>
    </w:p>
    <w:p w:rsidR="00764444" w:rsidRPr="00764444" w:rsidRDefault="00764444" w:rsidP="007644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7.10</w:t>
      </w:r>
      <w:r w:rsidRPr="00764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По доходам</w:t>
      </w:r>
      <w:r w:rsidRPr="0076444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 xml:space="preserve"> </w:t>
      </w:r>
      <w:r w:rsidRPr="00764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уточненный</w:t>
      </w:r>
      <w:r w:rsidRPr="0076444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 xml:space="preserve"> план составил 194946,93 тыс. рублей. Поступление доходов за отчетный период  составило 193508714,94 тыс. рублей или 99,26 процентов.</w:t>
      </w:r>
    </w:p>
    <w:p w:rsidR="00764444" w:rsidRPr="00764444" w:rsidRDefault="00764444" w:rsidP="007644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764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расходам</w:t>
      </w:r>
      <w:r w:rsidRPr="0076444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 xml:space="preserve"> </w:t>
      </w:r>
      <w:r w:rsidRPr="00764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уточненный план</w:t>
      </w:r>
      <w:r w:rsidRPr="0076444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 xml:space="preserve"> составил 195370,92 тыс. рублей,  исполнено 193933,14 тыс. рублей или 99,01 процентов. Неисполнение составило 1437,78 тыс. рублей.</w:t>
      </w:r>
    </w:p>
    <w:p w:rsidR="00764444" w:rsidRPr="00764444" w:rsidRDefault="00764444" w:rsidP="00764444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7.11</w:t>
      </w:r>
      <w:r w:rsidRPr="00764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Дебиторская задолженность по состоянию на отчетную дату составила 507275,01 рублей, в том числе:</w:t>
      </w:r>
    </w:p>
    <w:p w:rsidR="00764444" w:rsidRPr="00764444" w:rsidRDefault="00764444" w:rsidP="00764444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4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счету 020600000  - 504358,84  рублей, </w:t>
      </w:r>
    </w:p>
    <w:p w:rsidR="00764444" w:rsidRPr="00764444" w:rsidRDefault="00764444" w:rsidP="00764444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  <w:r w:rsidRPr="00764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счету 030300000 – 3213,17 рублей.</w:t>
      </w:r>
    </w:p>
    <w:p w:rsidR="00764444" w:rsidRPr="00764444" w:rsidRDefault="00764444" w:rsidP="00764444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4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Кредиторская задолженность по счету 03020000 «Расчеты по принятым обязательствам» по состоянию на 01.01.2017 составила 8310,80 рублей.</w:t>
      </w:r>
    </w:p>
    <w:p w:rsidR="00764444" w:rsidRPr="00764444" w:rsidRDefault="00764444" w:rsidP="00764444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  <w:r w:rsidRPr="00764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7.12</w:t>
      </w:r>
      <w:r w:rsidRPr="00764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 В отчетном периоде Управление труда и социальной защиты населения не принимало участие в реализации мероприятий в рамках муниципальных программ.</w:t>
      </w:r>
    </w:p>
    <w:p w:rsidR="00E21651" w:rsidRDefault="00764444" w:rsidP="00764444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7.13</w:t>
      </w:r>
      <w:r w:rsidRPr="00764444">
        <w:rPr>
          <w:color w:val="000000"/>
          <w:sz w:val="28"/>
          <w:szCs w:val="28"/>
          <w:lang w:eastAsia="ar-SA"/>
        </w:rPr>
        <w:t>. Таким образом, всего в ходе проверки выявлено нарушений на сумму  51036,55 рублей.</w:t>
      </w:r>
    </w:p>
    <w:p w:rsidR="00764444" w:rsidRDefault="00E05B22" w:rsidP="00E2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764444">
        <w:rPr>
          <w:rFonts w:ascii="Times New Roman" w:hAnsi="Times New Roman" w:cs="Times New Roman"/>
          <w:sz w:val="28"/>
          <w:szCs w:val="28"/>
        </w:rPr>
        <w:t>Выводы.</w:t>
      </w:r>
    </w:p>
    <w:p w:rsidR="00E21651" w:rsidRPr="00E21651" w:rsidRDefault="00764444" w:rsidP="00E2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444">
        <w:rPr>
          <w:rFonts w:ascii="Times New Roman" w:hAnsi="Times New Roman" w:cs="Times New Roman"/>
          <w:sz w:val="28"/>
          <w:szCs w:val="28"/>
        </w:rPr>
        <w:t>По результатам проведенной внешней проверки бюджетной отчетности Управления труда и социальной защиты населения за 2016 год Контрольно-счетная комиссия считает, что отраженные в настоящем заключении нарушения не оказали существенного влияния на достоверность бюджетной отчетности.</w:t>
      </w:r>
    </w:p>
    <w:p w:rsidR="00764444" w:rsidRDefault="00764444" w:rsidP="00E2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Предложения.</w:t>
      </w:r>
    </w:p>
    <w:p w:rsidR="00764444" w:rsidRPr="00764444" w:rsidRDefault="00764444" w:rsidP="00764444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4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основании проведенной внешней проверки бюджетной отчетности Управления труда и социальной защиты населения за 2016 год Контрольно-счетная комиссия рекомендует:</w:t>
      </w:r>
    </w:p>
    <w:p w:rsidR="00764444" w:rsidRPr="00764444" w:rsidRDefault="00764444" w:rsidP="00764444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764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 составлении годовой бюджетной отчетности соблюдать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:rsidR="00764444" w:rsidRPr="00764444" w:rsidRDefault="00764444" w:rsidP="00764444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764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отражать в формах годовой  отчетности более полную и достоверную информацию об исполнении доходной и расходной частей бюджета;</w:t>
      </w:r>
    </w:p>
    <w:p w:rsidR="00764444" w:rsidRPr="00764444" w:rsidRDefault="00764444" w:rsidP="00764444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-</w:t>
      </w:r>
      <w:r w:rsidRPr="0076444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 не допускать возникновения дебиторской и кредиторской задолженности,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результатами.</w:t>
      </w:r>
    </w:p>
    <w:p w:rsidR="00764444" w:rsidRPr="00764444" w:rsidRDefault="00764444" w:rsidP="00764444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4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Сведения о результатах настоящей проверки  будут учтены при составлении заключения по результатам внешней проверки отчета об исполнении бюджета Грачевского муниципального района Ставропольского края за 2016 год.</w:t>
      </w:r>
    </w:p>
    <w:p w:rsidR="002E1815" w:rsidRDefault="002E1815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1FE4" w:rsidRPr="00F11FE4" w:rsidSect="00764444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E4"/>
    <w:rsid w:val="0017789A"/>
    <w:rsid w:val="002566AE"/>
    <w:rsid w:val="002E1815"/>
    <w:rsid w:val="004B7648"/>
    <w:rsid w:val="00764444"/>
    <w:rsid w:val="008B218A"/>
    <w:rsid w:val="00A267F5"/>
    <w:rsid w:val="00A96A05"/>
    <w:rsid w:val="00B2609C"/>
    <w:rsid w:val="00DB2B91"/>
    <w:rsid w:val="00E05B22"/>
    <w:rsid w:val="00E21651"/>
    <w:rsid w:val="00F1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F11FE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1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1FE4"/>
    <w:rPr>
      <w:rFonts w:eastAsia="Times New Roman"/>
      <w:b/>
      <w:caps/>
      <w:snapToGrid w:val="0"/>
      <w:lang w:eastAsia="ru-RU"/>
    </w:rPr>
  </w:style>
  <w:style w:type="paragraph" w:customStyle="1" w:styleId="a3">
    <w:name w:val="адрес"/>
    <w:basedOn w:val="a"/>
    <w:rsid w:val="00F11F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11F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1F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1FE4"/>
    <w:pPr>
      <w:ind w:left="720"/>
      <w:contextualSpacing/>
    </w:pPr>
  </w:style>
  <w:style w:type="paragraph" w:styleId="a9">
    <w:name w:val="Normal (Web)"/>
    <w:basedOn w:val="a"/>
    <w:unhideWhenUsed/>
    <w:rsid w:val="00F1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F11FE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1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1FE4"/>
    <w:rPr>
      <w:rFonts w:eastAsia="Times New Roman"/>
      <w:b/>
      <w:caps/>
      <w:snapToGrid w:val="0"/>
      <w:lang w:eastAsia="ru-RU"/>
    </w:rPr>
  </w:style>
  <w:style w:type="paragraph" w:customStyle="1" w:styleId="a3">
    <w:name w:val="адрес"/>
    <w:basedOn w:val="a"/>
    <w:rsid w:val="00F11F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11F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1F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1FE4"/>
    <w:pPr>
      <w:ind w:left="720"/>
      <w:contextualSpacing/>
    </w:pPr>
  </w:style>
  <w:style w:type="paragraph" w:styleId="a9">
    <w:name w:val="Normal (Web)"/>
    <w:basedOn w:val="a"/>
    <w:unhideWhenUsed/>
    <w:rsid w:val="00F1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11</cp:revision>
  <cp:lastPrinted>2017-05-05T07:46:00Z</cp:lastPrinted>
  <dcterms:created xsi:type="dcterms:W3CDTF">2015-04-22T11:31:00Z</dcterms:created>
  <dcterms:modified xsi:type="dcterms:W3CDTF">2017-05-05T08:07:00Z</dcterms:modified>
</cp:coreProperties>
</file>